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89D9" w14:textId="2CC30168" w:rsidR="0044432B" w:rsidRPr="00E34D1A" w:rsidRDefault="002309BD" w:rsidP="00E34D1A">
      <w:pPr>
        <w:jc w:val="center"/>
        <w:rPr>
          <w:rFonts w:ascii="Century Gothic" w:hAnsi="Century Gothic" w:cs="Times New Roman"/>
          <w:b/>
        </w:rPr>
      </w:pPr>
      <w:r w:rsidRPr="00D61E32">
        <w:rPr>
          <w:rFonts w:ascii="Century Gothic" w:hAnsi="Century Gothic" w:cs="Times New Roman"/>
          <w:b/>
        </w:rPr>
        <w:t xml:space="preserve">MHPAEA Summary </w:t>
      </w:r>
      <w:r w:rsidR="007C5438" w:rsidRPr="00D61E32">
        <w:rPr>
          <w:rFonts w:ascii="Century Gothic" w:hAnsi="Century Gothic" w:cs="Times New Roman"/>
          <w:b/>
        </w:rPr>
        <w:t>Form</w:t>
      </w:r>
      <w:r w:rsidR="00B850C9" w:rsidRPr="00D61E32">
        <w:rPr>
          <w:rFonts w:ascii="Century Gothic" w:hAnsi="Century Gothic" w:cs="Times New Roman"/>
          <w:b/>
        </w:rPr>
        <w:t xml:space="preserve"> Instructions</w:t>
      </w:r>
    </w:p>
    <w:p w14:paraId="7EEB55F3" w14:textId="6DCE7F27" w:rsidR="00CC43C6" w:rsidRPr="00D61E32" w:rsidRDefault="002309BD">
      <w:pPr>
        <w:rPr>
          <w:rFonts w:ascii="Century Gothic" w:hAnsi="Century Gothic" w:cs="Times New Roman"/>
        </w:rPr>
      </w:pPr>
      <w:r w:rsidRPr="00D61E32">
        <w:rPr>
          <w:rFonts w:ascii="Century Gothic" w:hAnsi="Century Gothic" w:cs="Times New Roman"/>
        </w:rPr>
        <w:t>Th</w:t>
      </w:r>
      <w:r w:rsidR="00FE610D" w:rsidRPr="00D61E32">
        <w:rPr>
          <w:rFonts w:ascii="Century Gothic" w:hAnsi="Century Gothic" w:cs="Times New Roman"/>
        </w:rPr>
        <w:t>e</w:t>
      </w:r>
      <w:r w:rsidR="0032795F" w:rsidRPr="00D61E32">
        <w:rPr>
          <w:rFonts w:ascii="Century Gothic" w:hAnsi="Century Gothic" w:cs="Times New Roman"/>
        </w:rPr>
        <w:t xml:space="preserve"> below summary </w:t>
      </w:r>
      <w:r w:rsidRPr="00D61E32">
        <w:rPr>
          <w:rFonts w:ascii="Century Gothic" w:hAnsi="Century Gothic" w:cs="Times New Roman"/>
        </w:rPr>
        <w:t>form is prepared to satisfy the requirements of §15-144 (m)(2), Insurance Article, Annotated Code of Maryland</w:t>
      </w:r>
      <w:r w:rsidR="00FE610D" w:rsidRPr="00D61E32">
        <w:rPr>
          <w:rFonts w:ascii="Century Gothic" w:hAnsi="Century Gothic" w:cs="Times New Roman"/>
        </w:rPr>
        <w:t xml:space="preserve">.  </w:t>
      </w:r>
      <w:r w:rsidR="0032795F" w:rsidRPr="00D61E32">
        <w:rPr>
          <w:rFonts w:ascii="Century Gothic" w:hAnsi="Century Gothic" w:cs="Times New Roman"/>
        </w:rPr>
        <w:t>The summary form must be made a</w:t>
      </w:r>
      <w:r w:rsidRPr="00D61E32">
        <w:rPr>
          <w:rFonts w:ascii="Century Gothic" w:hAnsi="Century Gothic" w:cs="Times New Roman"/>
        </w:rPr>
        <w:t>vailable to plan members and to the public on the carrier’</w:t>
      </w:r>
      <w:r w:rsidR="00CC43C6" w:rsidRPr="00D61E32">
        <w:rPr>
          <w:rFonts w:ascii="Century Gothic" w:hAnsi="Century Gothic" w:cs="Times New Roman"/>
        </w:rPr>
        <w:t>s website.</w:t>
      </w:r>
    </w:p>
    <w:p w14:paraId="254D3BBF" w14:textId="6BDCE4A8" w:rsidR="002309BD" w:rsidRPr="00D61E32" w:rsidRDefault="00CC43C6">
      <w:pPr>
        <w:rPr>
          <w:rFonts w:ascii="Century Gothic" w:hAnsi="Century Gothic" w:cs="Times New Roman"/>
        </w:rPr>
      </w:pPr>
      <w:r w:rsidRPr="00D61E32">
        <w:rPr>
          <w:rFonts w:ascii="Century Gothic" w:hAnsi="Century Gothic" w:cs="Times New Roman"/>
        </w:rPr>
        <w:t>C</w:t>
      </w:r>
      <w:r w:rsidR="002309BD" w:rsidRPr="00D61E32">
        <w:rPr>
          <w:rFonts w:ascii="Century Gothic" w:hAnsi="Century Gothic" w:cs="Times New Roman"/>
        </w:rPr>
        <w:t>onfidential and proprietary information</w:t>
      </w:r>
      <w:r w:rsidR="0032795F" w:rsidRPr="00D61E32">
        <w:rPr>
          <w:rFonts w:ascii="Century Gothic" w:hAnsi="Century Gothic" w:cs="Times New Roman"/>
        </w:rPr>
        <w:t xml:space="preserve"> must be removed from the </w:t>
      </w:r>
      <w:r w:rsidRPr="00D61E32">
        <w:rPr>
          <w:rFonts w:ascii="Century Gothic" w:hAnsi="Century Gothic" w:cs="Times New Roman"/>
        </w:rPr>
        <w:t>summary form</w:t>
      </w:r>
      <w:r w:rsidR="002309BD" w:rsidRPr="00D61E32">
        <w:rPr>
          <w:rFonts w:ascii="Century Gothic" w:hAnsi="Century Gothic" w:cs="Times New Roman"/>
        </w:rPr>
        <w:t xml:space="preserve">. </w:t>
      </w:r>
      <w:r w:rsidR="007C5438" w:rsidRPr="00D61E32">
        <w:rPr>
          <w:rFonts w:ascii="Century Gothic" w:hAnsi="Century Gothic" w:cs="Times New Roman"/>
        </w:rPr>
        <w:t>Confidential and proprietary information that is removed from the summary form must satisfy § 15-144(h)(1), Insurance Article, Annotated Code of Maryland.</w:t>
      </w:r>
    </w:p>
    <w:p w14:paraId="4644C782" w14:textId="7979942E" w:rsidR="00FE610D" w:rsidRPr="00D61E32" w:rsidRDefault="0032795F" w:rsidP="00B850C9">
      <w:pPr>
        <w:rPr>
          <w:rFonts w:ascii="Century Gothic" w:hAnsi="Century Gothic" w:cs="Times New Roman"/>
        </w:rPr>
      </w:pPr>
      <w:r w:rsidRPr="00D61E32">
        <w:rPr>
          <w:rFonts w:ascii="Century Gothic" w:hAnsi="Century Gothic" w:cs="Times New Roman"/>
        </w:rPr>
        <w:t xml:space="preserve">The MHPAEA Summary </w:t>
      </w:r>
      <w:r w:rsidR="007C5438" w:rsidRPr="00D61E32">
        <w:rPr>
          <w:rFonts w:ascii="Century Gothic" w:hAnsi="Century Gothic" w:cs="Times New Roman"/>
        </w:rPr>
        <w:t>Form</w:t>
      </w:r>
      <w:r w:rsidRPr="00D61E32">
        <w:rPr>
          <w:rFonts w:ascii="Century Gothic" w:hAnsi="Century Gothic" w:cs="Times New Roman"/>
        </w:rPr>
        <w:t xml:space="preserve"> includes the MHPAEA Data Report</w:t>
      </w:r>
      <w:r w:rsidR="000C14A2" w:rsidRPr="00D61E32">
        <w:rPr>
          <w:rFonts w:ascii="Century Gothic" w:hAnsi="Century Gothic" w:cs="Times New Roman"/>
        </w:rPr>
        <w:t>.</w:t>
      </w:r>
      <w:r w:rsidR="00FE610D" w:rsidRPr="00D61E32">
        <w:rPr>
          <w:rFonts w:ascii="Century Gothic" w:hAnsi="Century Gothic" w:cs="Times New Roman"/>
        </w:rPr>
        <w:t xml:space="preserve"> </w:t>
      </w:r>
    </w:p>
    <w:p w14:paraId="24A9E865" w14:textId="4569D97B" w:rsidR="0032795F" w:rsidRPr="00D61E32" w:rsidRDefault="0032795F" w:rsidP="0032795F">
      <w:pPr>
        <w:rPr>
          <w:rFonts w:ascii="Century Gothic" w:hAnsi="Century Gothic" w:cs="Times New Roman"/>
        </w:rPr>
      </w:pPr>
      <w:r w:rsidRPr="00D61E32">
        <w:rPr>
          <w:rFonts w:ascii="Century Gothic" w:hAnsi="Century Gothic" w:cs="Times New Roman"/>
        </w:rPr>
        <w:t xml:space="preserve">Carriers must use the terms defined in COMAR 31.10.51 and the </w:t>
      </w:r>
      <w:r w:rsidRPr="00D61E32">
        <w:rPr>
          <w:rFonts w:ascii="Century Gothic" w:hAnsi="Century Gothic" w:cs="Times New Roman"/>
          <w:i/>
        </w:rPr>
        <w:t>Instructions for MHPAEA NQTL Analysis Report and Data Report</w:t>
      </w:r>
      <w:r w:rsidRPr="00D61E32">
        <w:rPr>
          <w:rFonts w:ascii="Century Gothic" w:hAnsi="Century Gothic" w:cs="Times New Roman"/>
        </w:rPr>
        <w:t xml:space="preserve"> to complete the summary </w:t>
      </w:r>
      <w:r w:rsidR="007C5438" w:rsidRPr="00D61E32">
        <w:rPr>
          <w:rFonts w:ascii="Century Gothic" w:hAnsi="Century Gothic" w:cs="Times New Roman"/>
        </w:rPr>
        <w:t>form</w:t>
      </w:r>
      <w:r w:rsidRPr="00D61E32">
        <w:rPr>
          <w:rFonts w:ascii="Century Gothic" w:hAnsi="Century Gothic" w:cs="Times New Roman"/>
        </w:rPr>
        <w:t xml:space="preserve">.  </w:t>
      </w:r>
    </w:p>
    <w:p w14:paraId="720AB174" w14:textId="03965D8D" w:rsidR="002309BD" w:rsidRPr="00D61E32" w:rsidRDefault="00FE610D" w:rsidP="002309BD">
      <w:pPr>
        <w:jc w:val="center"/>
        <w:rPr>
          <w:rFonts w:ascii="Century Gothic" w:hAnsi="Century Gothic" w:cs="Times New Roman"/>
          <w:b/>
        </w:rPr>
      </w:pPr>
      <w:r w:rsidRPr="00D61E32">
        <w:rPr>
          <w:rFonts w:ascii="Century Gothic" w:hAnsi="Century Gothic" w:cs="Times New Roman"/>
          <w:b/>
        </w:rPr>
        <w:t xml:space="preserve">MHPAEA </w:t>
      </w:r>
      <w:r w:rsidR="002309BD" w:rsidRPr="00D61E32">
        <w:rPr>
          <w:rFonts w:ascii="Century Gothic" w:hAnsi="Century Gothic" w:cs="Times New Roman"/>
          <w:b/>
        </w:rPr>
        <w:t xml:space="preserve">Summary </w:t>
      </w:r>
      <w:r w:rsidR="004E7BFD" w:rsidRPr="00D61E32">
        <w:rPr>
          <w:rFonts w:ascii="Century Gothic" w:hAnsi="Century Gothic" w:cs="Times New Roman"/>
          <w:b/>
        </w:rPr>
        <w:t>Form</w:t>
      </w:r>
    </w:p>
    <w:p w14:paraId="32FF897A" w14:textId="77777777" w:rsidR="00161ADE" w:rsidRPr="00D61E32" w:rsidRDefault="00161ADE">
      <w:pPr>
        <w:rPr>
          <w:rFonts w:ascii="Century Gothic" w:hAnsi="Century Gothic" w:cs="Times New Roman"/>
        </w:rPr>
      </w:pPr>
      <w:r w:rsidRPr="00D61E32">
        <w:rPr>
          <w:rFonts w:ascii="Century Gothic" w:hAnsi="Century Gothic" w:cs="Times New Roman"/>
        </w:rPr>
        <w:t xml:space="preserve">Under a federal law called the Mental Health Parity and Addiction Equity Act (MHPAEA), [carrier name] must make sure that there is “parity” between mental health and substance use disorder benefits, and medical and surgical benefits. This generally means that financial requirements and treatment limitations applied to mental health or substance use disorder benefits cannot be more restrictive than the financial requirements and treatment limitations applied to medical and surgical benefits. The types of limits covered by parity protections include: </w:t>
      </w:r>
    </w:p>
    <w:p w14:paraId="61C7D12F" w14:textId="35F9F75D" w:rsidR="00161ADE" w:rsidRPr="00D61E32" w:rsidRDefault="00161ADE" w:rsidP="00626C2F">
      <w:pPr>
        <w:pStyle w:val="ListParagraph"/>
        <w:numPr>
          <w:ilvl w:val="0"/>
          <w:numId w:val="18"/>
        </w:numPr>
        <w:rPr>
          <w:rFonts w:ascii="Century Gothic" w:hAnsi="Century Gothic" w:cs="Times New Roman"/>
        </w:rPr>
      </w:pPr>
      <w:r w:rsidRPr="00D61E32">
        <w:rPr>
          <w:rFonts w:ascii="Century Gothic" w:hAnsi="Century Gothic" w:cs="Times New Roman"/>
        </w:rPr>
        <w:t xml:space="preserve">Financial requirements—such as deductibles, copayments, coinsurance, and out-of-pocket limits; and </w:t>
      </w:r>
    </w:p>
    <w:p w14:paraId="1F4699C4" w14:textId="2CC8D318" w:rsidR="002309BD" w:rsidRPr="00D61E32" w:rsidRDefault="00161ADE" w:rsidP="00626C2F">
      <w:pPr>
        <w:pStyle w:val="ListParagraph"/>
        <w:numPr>
          <w:ilvl w:val="0"/>
          <w:numId w:val="18"/>
        </w:numPr>
        <w:rPr>
          <w:rFonts w:ascii="Century Gothic" w:hAnsi="Century Gothic" w:cs="Times New Roman"/>
        </w:rPr>
      </w:pPr>
      <w:r w:rsidRPr="00D61E32">
        <w:rPr>
          <w:rFonts w:ascii="Century Gothic" w:hAnsi="Century Gothic" w:cs="Times New Roman"/>
        </w:rPr>
        <w:t xml:space="preserve">Treatment limitations—such as limits on the number of days or visits covered, or other limits on the scope or duration of treatment (for example, being required to get prior authorization). </w:t>
      </w:r>
    </w:p>
    <w:p w14:paraId="446BCB7B" w14:textId="3C9DE702" w:rsidR="00662235" w:rsidRPr="00D61E32" w:rsidRDefault="00E34D1A">
      <w:pPr>
        <w:rPr>
          <w:rFonts w:ascii="Century Gothic" w:hAnsi="Century Gothic" w:cs="Times New Roman"/>
        </w:rPr>
      </w:pPr>
      <w:r>
        <w:rPr>
          <w:rFonts w:ascii="Century Gothic" w:hAnsi="Century Gothic" w:cs="Times New Roman"/>
        </w:rPr>
        <w:t>Wellfleet</w:t>
      </w:r>
      <w:r w:rsidR="00161ADE" w:rsidRPr="00D61E32">
        <w:rPr>
          <w:rFonts w:ascii="Century Gothic" w:hAnsi="Century Gothic" w:cs="Times New Roman"/>
        </w:rPr>
        <w:t xml:space="preserve"> has performed an analysis of mental health parity as required by Ma</w:t>
      </w:r>
      <w:r w:rsidR="007461CE" w:rsidRPr="00D61E32">
        <w:rPr>
          <w:rFonts w:ascii="Century Gothic" w:hAnsi="Century Gothic" w:cs="Times New Roman"/>
        </w:rPr>
        <w:t>r</w:t>
      </w:r>
      <w:r w:rsidR="00161ADE" w:rsidRPr="00D61E32">
        <w:rPr>
          <w:rFonts w:ascii="Century Gothic" w:hAnsi="Century Gothic" w:cs="Times New Roman"/>
        </w:rPr>
        <w:t>yland law and has submitted the required report to the State of Maryland.  Below is a summary of that report.</w:t>
      </w:r>
    </w:p>
    <w:p w14:paraId="2131C26C" w14:textId="75D5EAEB" w:rsidR="00662235" w:rsidRPr="00D61E32" w:rsidRDefault="00662235">
      <w:pPr>
        <w:rPr>
          <w:rFonts w:ascii="Century Gothic" w:hAnsi="Century Gothic" w:cs="Times New Roman"/>
        </w:rPr>
      </w:pPr>
      <w:r w:rsidRPr="0094211C">
        <w:rPr>
          <w:rFonts w:ascii="Century Gothic" w:hAnsi="Century Gothic" w:cs="Times New Roman"/>
        </w:rPr>
        <w:t xml:space="preserve">If you have any questions on this summary, please contact </w:t>
      </w:r>
      <w:r w:rsidR="0094211C">
        <w:rPr>
          <w:rFonts w:ascii="Century Gothic" w:hAnsi="Century Gothic" w:cs="Times New Roman"/>
        </w:rPr>
        <w:t xml:space="preserve">Nicole Winchell RN </w:t>
      </w:r>
      <w:r w:rsidRPr="0094211C">
        <w:rPr>
          <w:rFonts w:ascii="Century Gothic" w:hAnsi="Century Gothic" w:cs="Times New Roman"/>
        </w:rPr>
        <w:t xml:space="preserve">at </w:t>
      </w:r>
      <w:r w:rsidR="0094211C">
        <w:rPr>
          <w:rFonts w:ascii="Century Gothic" w:hAnsi="Century Gothic" w:cs="Times New Roman"/>
        </w:rPr>
        <w:t>clinical@wellfleetinsurance.com</w:t>
      </w:r>
    </w:p>
    <w:p w14:paraId="24F41A89" w14:textId="0C79E57D" w:rsidR="00662235" w:rsidRPr="00D61E32" w:rsidRDefault="00662235">
      <w:pPr>
        <w:rPr>
          <w:rFonts w:ascii="Century Gothic" w:hAnsi="Century Gothic" w:cs="Times New Roman"/>
        </w:rPr>
      </w:pPr>
      <w:r w:rsidRPr="00D61E32">
        <w:rPr>
          <w:rFonts w:ascii="Century Gothic" w:hAnsi="Century Gothic" w:cs="Times New Roman"/>
        </w:rPr>
        <w:t xml:space="preserve">If you have questions on your specific health plan, please call </w:t>
      </w:r>
      <w:r w:rsidR="00E34D1A">
        <w:rPr>
          <w:rFonts w:ascii="Century Gothic" w:hAnsi="Century Gothic" w:cs="Times New Roman"/>
        </w:rPr>
        <w:t>(877)657-5030</w:t>
      </w:r>
      <w:r w:rsidRPr="00D61E32">
        <w:rPr>
          <w:rFonts w:ascii="Century Gothic" w:hAnsi="Century Gothic" w:cs="Times New Roman"/>
        </w:rPr>
        <w:t>.</w:t>
      </w:r>
    </w:p>
    <w:p w14:paraId="742999D9" w14:textId="6779ADB6" w:rsidR="009831ED" w:rsidRPr="00D61E32" w:rsidRDefault="00161ADE">
      <w:pPr>
        <w:rPr>
          <w:rFonts w:ascii="Century Gothic" w:hAnsi="Century Gothic" w:cs="Times New Roman"/>
          <w:b/>
        </w:rPr>
      </w:pPr>
      <w:r w:rsidRPr="00D61E32">
        <w:rPr>
          <w:rFonts w:ascii="Century Gothic" w:hAnsi="Century Gothic" w:cs="Times New Roman"/>
          <w:b/>
        </w:rPr>
        <w:t>Overview</w:t>
      </w:r>
      <w:r w:rsidR="009831ED" w:rsidRPr="00D61E32">
        <w:rPr>
          <w:rFonts w:ascii="Century Gothic" w:hAnsi="Century Gothic" w:cs="Times New Roman"/>
          <w:b/>
        </w:rPr>
        <w:t xml:space="preserve">: </w:t>
      </w:r>
    </w:p>
    <w:p w14:paraId="7B001F33" w14:textId="6386FBB0" w:rsidR="009831ED" w:rsidRPr="00D61E32" w:rsidRDefault="00161ADE">
      <w:pPr>
        <w:rPr>
          <w:rFonts w:ascii="Century Gothic" w:hAnsi="Century Gothic" w:cs="Times New Roman"/>
        </w:rPr>
      </w:pPr>
      <w:r w:rsidRPr="00D61E32">
        <w:rPr>
          <w:rFonts w:ascii="Century Gothic" w:hAnsi="Century Gothic" w:cs="Times New Roman"/>
        </w:rPr>
        <w:t>We have i</w:t>
      </w:r>
      <w:r w:rsidR="009831ED" w:rsidRPr="00D61E32">
        <w:rPr>
          <w:rFonts w:ascii="Century Gothic" w:hAnsi="Century Gothic" w:cs="Times New Roman"/>
        </w:rPr>
        <w:t>dentif</w:t>
      </w:r>
      <w:r w:rsidRPr="00D61E32">
        <w:rPr>
          <w:rFonts w:ascii="Century Gothic" w:hAnsi="Century Gothic" w:cs="Times New Roman"/>
        </w:rPr>
        <w:t>ie</w:t>
      </w:r>
      <w:r w:rsidR="007461CE" w:rsidRPr="00D61E32">
        <w:rPr>
          <w:rFonts w:ascii="Century Gothic" w:hAnsi="Century Gothic" w:cs="Times New Roman"/>
        </w:rPr>
        <w:t>d</w:t>
      </w:r>
      <w:r w:rsidR="009831ED" w:rsidRPr="00D61E32">
        <w:rPr>
          <w:rFonts w:ascii="Century Gothic" w:hAnsi="Century Gothic" w:cs="Times New Roman"/>
        </w:rPr>
        <w:t xml:space="preserve"> the five health benefit plans with the highest enrollment for each product </w:t>
      </w:r>
      <w:r w:rsidRPr="00D61E32">
        <w:rPr>
          <w:rFonts w:ascii="Century Gothic" w:hAnsi="Century Gothic" w:cs="Times New Roman"/>
        </w:rPr>
        <w:t xml:space="preserve">we </w:t>
      </w:r>
      <w:r w:rsidR="009831ED" w:rsidRPr="00D61E32">
        <w:rPr>
          <w:rFonts w:ascii="Century Gothic" w:hAnsi="Century Gothic" w:cs="Times New Roman"/>
        </w:rPr>
        <w:t>offer in the individual, small, and large group markets</w:t>
      </w:r>
      <w:r w:rsidRPr="00D61E32">
        <w:rPr>
          <w:rFonts w:ascii="Century Gothic" w:hAnsi="Century Gothic" w:cs="Times New Roman"/>
        </w:rPr>
        <w:t>, as applicable</w:t>
      </w:r>
      <w:r w:rsidR="009831ED" w:rsidRPr="00D61E32">
        <w:rPr>
          <w:rFonts w:ascii="Century Gothic" w:hAnsi="Century Gothic" w:cs="Times New Roman"/>
        </w:rPr>
        <w:t xml:space="preserve">. </w:t>
      </w:r>
      <w:r w:rsidRPr="00D61E32">
        <w:rPr>
          <w:rFonts w:ascii="Century Gothic" w:hAnsi="Century Gothic" w:cs="Times New Roman"/>
        </w:rPr>
        <w:t xml:space="preserve"> These plans contain items called Non-</w:t>
      </w:r>
      <w:r w:rsidR="007461CE" w:rsidRPr="00D61E32">
        <w:rPr>
          <w:rFonts w:ascii="Century Gothic" w:hAnsi="Century Gothic" w:cs="Times New Roman"/>
        </w:rPr>
        <w:t>Quantitative</w:t>
      </w:r>
      <w:r w:rsidRPr="00D61E32">
        <w:rPr>
          <w:rFonts w:ascii="Century Gothic" w:hAnsi="Century Gothic" w:cs="Times New Roman"/>
        </w:rPr>
        <w:t xml:space="preserve"> Treatment Limitations (NQTLs) that put limits on benefits paid.  </w:t>
      </w:r>
      <w:r w:rsidR="004F65FF" w:rsidRPr="00D61E32">
        <w:rPr>
          <w:rFonts w:ascii="Century Gothic" w:hAnsi="Century Gothic" w:cs="Times New Roman"/>
        </w:rPr>
        <w:t>What t</w:t>
      </w:r>
      <w:r w:rsidRPr="00D61E32">
        <w:rPr>
          <w:rFonts w:ascii="Century Gothic" w:hAnsi="Century Gothic" w:cs="Times New Roman"/>
        </w:rPr>
        <w:t xml:space="preserve">hese NQTL’s </w:t>
      </w:r>
      <w:r w:rsidR="004F65FF" w:rsidRPr="00D61E32">
        <w:rPr>
          <w:rFonts w:ascii="Century Gothic" w:hAnsi="Century Gothic" w:cs="Times New Roman"/>
        </w:rPr>
        <w:t xml:space="preserve">are and how the health plans achieve parity </w:t>
      </w:r>
      <w:r w:rsidRPr="00D61E32">
        <w:rPr>
          <w:rFonts w:ascii="Century Gothic" w:hAnsi="Century Gothic" w:cs="Times New Roman"/>
        </w:rPr>
        <w:t xml:space="preserve">are discussed below. </w:t>
      </w:r>
    </w:p>
    <w:p w14:paraId="4ED32D78" w14:textId="77777777" w:rsidR="003A6A60" w:rsidRPr="00D61E32" w:rsidRDefault="003A6A60">
      <w:pPr>
        <w:rPr>
          <w:rFonts w:ascii="Century Gothic" w:hAnsi="Century Gothic" w:cs="Times New Roman"/>
        </w:rPr>
      </w:pPr>
      <w:r w:rsidRPr="00D61E32">
        <w:rPr>
          <w:rFonts w:ascii="Century Gothic" w:hAnsi="Century Gothic" w:cs="Times New Roman"/>
        </w:rPr>
        <w:br w:type="page"/>
      </w:r>
    </w:p>
    <w:p w14:paraId="168443A4" w14:textId="77777777" w:rsidR="00D36D15" w:rsidRPr="00D61E32" w:rsidRDefault="00B850C9" w:rsidP="00D36D15">
      <w:pPr>
        <w:pStyle w:val="ListParagraph"/>
        <w:numPr>
          <w:ilvl w:val="0"/>
          <w:numId w:val="3"/>
        </w:numPr>
        <w:spacing w:after="0"/>
        <w:rPr>
          <w:rFonts w:ascii="Century Gothic" w:hAnsi="Century Gothic" w:cs="Times New Roman"/>
          <w:b/>
          <w:u w:val="single"/>
        </w:rPr>
      </w:pPr>
      <w:r w:rsidRPr="00D61E32">
        <w:rPr>
          <w:rFonts w:ascii="Century Gothic" w:hAnsi="Century Gothic" w:cs="Times New Roman"/>
          <w:b/>
          <w:u w:val="single"/>
        </w:rPr>
        <w:lastRenderedPageBreak/>
        <w:t>D</w:t>
      </w:r>
      <w:r w:rsidR="00D36D15" w:rsidRPr="00D61E32">
        <w:rPr>
          <w:rFonts w:ascii="Century Gothic" w:hAnsi="Century Gothic" w:cs="Times New Roman"/>
          <w:b/>
          <w:u w:val="single"/>
        </w:rPr>
        <w:t xml:space="preserve">efinition of Medical Necessity </w:t>
      </w:r>
    </w:p>
    <w:p w14:paraId="6B23A565" w14:textId="49E8AB27" w:rsidR="00D36D15" w:rsidRPr="00D61E32" w:rsidRDefault="00D36D15" w:rsidP="00D36D15">
      <w:pPr>
        <w:spacing w:after="0"/>
        <w:rPr>
          <w:rFonts w:ascii="Century Gothic" w:hAnsi="Century Gothic" w:cs="Times New Roman"/>
          <w:b/>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544"/>
      </w:tblGrid>
      <w:tr w:rsidR="006F74BE" w:rsidRPr="00D61E32" w14:paraId="79EDA40A" w14:textId="77777777" w:rsidTr="004138AC">
        <w:trPr>
          <w:trHeight w:val="685"/>
        </w:trPr>
        <w:tc>
          <w:tcPr>
            <w:tcW w:w="0" w:type="auto"/>
            <w:gridSpan w:val="2"/>
            <w:tcBorders>
              <w:top w:val="single" w:sz="4" w:space="0" w:color="auto"/>
              <w:left w:val="single" w:sz="4" w:space="0" w:color="auto"/>
              <w:bottom w:val="single" w:sz="4" w:space="0" w:color="auto"/>
              <w:right w:val="single" w:sz="4" w:space="0" w:color="auto"/>
            </w:tcBorders>
            <w:shd w:val="clear" w:color="auto" w:fill="C6D9F1"/>
            <w:hideMark/>
          </w:tcPr>
          <w:p w14:paraId="6983A213" w14:textId="38B89728" w:rsidR="006F74BE" w:rsidRPr="00D61E32" w:rsidRDefault="006F74BE" w:rsidP="006F74BE">
            <w:pPr>
              <w:spacing w:after="0" w:line="240" w:lineRule="auto"/>
              <w:rPr>
                <w:rFonts w:ascii="Century Gothic" w:eastAsia="Times New Roman" w:hAnsi="Century Gothic" w:cs="Arial"/>
                <w:b/>
                <w:bCs/>
              </w:rPr>
            </w:pPr>
            <w:r w:rsidRPr="00D61E32">
              <w:rPr>
                <w:rFonts w:ascii="Century Gothic" w:eastAsia="Times New Roman" w:hAnsi="Century Gothic" w:cs="Arial"/>
                <w:b/>
                <w:bCs/>
              </w:rPr>
              <w:t>NQTL: Medical Necessity Criteria Development</w:t>
            </w:r>
            <w:r w:rsidR="00C87444">
              <w:rPr>
                <w:rFonts w:ascii="Century Gothic" w:eastAsia="Times New Roman" w:hAnsi="Century Gothic" w:cs="Arial"/>
                <w:b/>
                <w:bCs/>
              </w:rPr>
              <w:t xml:space="preserve"> – Medical </w:t>
            </w:r>
          </w:p>
        </w:tc>
      </w:tr>
      <w:tr w:rsidR="006F74BE" w:rsidRPr="00D61E32" w14:paraId="218CF820" w14:textId="77777777" w:rsidTr="004138AC">
        <w:trPr>
          <w:trHeight w:val="574"/>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2CBB1E7A" w14:textId="77777777" w:rsidR="006F74BE" w:rsidRPr="00D61E32" w:rsidRDefault="006F74BE" w:rsidP="006F74BE">
            <w:pPr>
              <w:spacing w:after="0" w:line="240" w:lineRule="auto"/>
              <w:rPr>
                <w:rFonts w:ascii="Century Gothic" w:eastAsia="Times New Roman" w:hAnsi="Century Gothic" w:cs="Arial"/>
                <w:b/>
                <w:bCs/>
              </w:rPr>
            </w:pPr>
            <w:r w:rsidRPr="00D61E32">
              <w:rPr>
                <w:rFonts w:ascii="Century Gothic" w:eastAsia="Times New Roman" w:hAnsi="Century Gothic" w:cs="Arial"/>
                <w:b/>
                <w:bCs/>
              </w:rPr>
              <w:t xml:space="preserve">Classification(s):  Inpatient, Outpatient, and Emergency </w:t>
            </w:r>
          </w:p>
        </w:tc>
      </w:tr>
      <w:tr w:rsidR="006F74BE" w:rsidRPr="00D61E32" w14:paraId="0150B578" w14:textId="77777777" w:rsidTr="004138AC">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3817BA3E" w14:textId="77777777" w:rsidR="006F74BE" w:rsidRPr="00D61E32" w:rsidRDefault="006F74BE" w:rsidP="006F74BE">
            <w:pPr>
              <w:spacing w:after="0" w:line="240" w:lineRule="auto"/>
              <w:rPr>
                <w:rFonts w:ascii="Century Gothic" w:eastAsia="Times New Roman" w:hAnsi="Century Gothic" w:cs="Arial"/>
                <w:b/>
                <w:bCs/>
              </w:rPr>
            </w:pPr>
            <w:r w:rsidRPr="00D61E32">
              <w:rPr>
                <w:rFonts w:ascii="Century Gothic" w:eastAsia="Times New Roman" w:hAnsi="Century Gothic" w:cs="Arial"/>
                <w:b/>
                <w:bCs/>
              </w:rPr>
              <w:t>Step 1 – Identify the specific plan or coverage terms or other relevant terms regarding Medical Necessity Criteria Development and a description of all mental health or substance use disorder and medical or surgical benefits to which each such term applies in each respective benefits classification</w:t>
            </w:r>
          </w:p>
        </w:tc>
      </w:tr>
      <w:tr w:rsidR="006F74BE" w:rsidRPr="00D61E32" w14:paraId="78D89EF9" w14:textId="77777777" w:rsidTr="00D61E32">
        <w:trPr>
          <w:trHeight w:val="647"/>
        </w:trPr>
        <w:tc>
          <w:tcPr>
            <w:tcW w:w="0" w:type="auto"/>
            <w:gridSpan w:val="2"/>
            <w:tcBorders>
              <w:top w:val="single" w:sz="4" w:space="0" w:color="auto"/>
              <w:left w:val="single" w:sz="4" w:space="0" w:color="auto"/>
              <w:bottom w:val="single" w:sz="4" w:space="0" w:color="auto"/>
              <w:right w:val="single" w:sz="4" w:space="0" w:color="auto"/>
            </w:tcBorders>
          </w:tcPr>
          <w:p w14:paraId="104E6103" w14:textId="77777777" w:rsidR="006F74BE" w:rsidRPr="00D61E32" w:rsidRDefault="006F74BE" w:rsidP="006F74BE">
            <w:pPr>
              <w:spacing w:after="0" w:line="240" w:lineRule="auto"/>
              <w:rPr>
                <w:rFonts w:ascii="Century Gothic" w:eastAsia="Times New Roman" w:hAnsi="Century Gothic" w:cs="Arial"/>
                <w:bCs/>
              </w:rPr>
            </w:pPr>
            <w:r w:rsidRPr="00D61E32">
              <w:rPr>
                <w:rFonts w:ascii="Century Gothic" w:eastAsia="Times New Roman" w:hAnsi="Century Gothic" w:cs="Arial"/>
                <w:b/>
                <w:bCs/>
                <w:i/>
              </w:rPr>
              <w:t>Step 1(a): Provide a clear description of the specific NQTL, plan terms, and policies at issue</w:t>
            </w:r>
            <w:r w:rsidRPr="00D61E32">
              <w:rPr>
                <w:rFonts w:ascii="Century Gothic" w:eastAsia="Times New Roman" w:hAnsi="Century Gothic" w:cs="Arial"/>
                <w:bCs/>
              </w:rPr>
              <w:t>:</w:t>
            </w:r>
            <w:r w:rsidRPr="00D61E32">
              <w:rPr>
                <w:rFonts w:ascii="Century Gothic" w:eastAsia="Times New Roman" w:hAnsi="Century Gothic" w:cs="Arial"/>
                <w:bCs/>
                <w:vertAlign w:val="superscript"/>
              </w:rPr>
              <w:footnoteReference w:id="2"/>
            </w:r>
            <w:r w:rsidRPr="00D61E32">
              <w:rPr>
                <w:rFonts w:ascii="Century Gothic" w:eastAsia="Times New Roman" w:hAnsi="Century Gothic" w:cs="Arial"/>
                <w:bCs/>
              </w:rPr>
              <w:t xml:space="preserve"> </w:t>
            </w:r>
          </w:p>
          <w:p w14:paraId="6E4CBC7B" w14:textId="77777777" w:rsidR="006F74BE" w:rsidRPr="00D61E32" w:rsidRDefault="006F74BE" w:rsidP="006F74BE">
            <w:pPr>
              <w:spacing w:after="0" w:line="240" w:lineRule="auto"/>
              <w:rPr>
                <w:rFonts w:ascii="Century Gothic" w:eastAsia="Calibri" w:hAnsi="Century Gothic" w:cs="Arial"/>
              </w:rPr>
            </w:pPr>
            <w:r w:rsidRPr="00D61E32">
              <w:rPr>
                <w:rFonts w:ascii="Century Gothic" w:eastAsia="Times New Roman" w:hAnsi="Century Gothic" w:cs="Arial"/>
              </w:rPr>
              <w:t xml:space="preserve">Wellfleet delegates its non-Pharmacy Utilization Management to Cigna.  Cigna employs the same definition of medical necessity to (M/S) and mental health/substance use disorder (MH/SUD) benefits. Cigna Medical Directors apply the definition of “medical necessity” set forth in the governing plan instrument or the definition required by state law. Notwithstanding the above, Cigna's standard definition of “medical necessity” is as follows: </w:t>
            </w:r>
          </w:p>
          <w:p w14:paraId="25A4708E"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
                <w:bCs/>
              </w:rPr>
              <w:t xml:space="preserve">Cigna defines “Medically Necessary/Medical Necessity” as follows: </w:t>
            </w:r>
            <w:r w:rsidRPr="00D61E32">
              <w:rPr>
                <w:rFonts w:ascii="Century Gothic" w:eastAsia="Times New Roman" w:hAnsi="Century Gothic" w:cs="Arial"/>
              </w:rPr>
              <w:t xml:space="preserve"> Health care services, supplies and medications provided for the purpose of preventing, evaluating, </w:t>
            </w:r>
            <w:proofErr w:type="gramStart"/>
            <w:r w:rsidRPr="00D61E32">
              <w:rPr>
                <w:rFonts w:ascii="Century Gothic" w:eastAsia="Times New Roman" w:hAnsi="Century Gothic" w:cs="Arial"/>
              </w:rPr>
              <w:t>diagnosing</w:t>
            </w:r>
            <w:proofErr w:type="gramEnd"/>
            <w:r w:rsidRPr="00D61E32">
              <w:rPr>
                <w:rFonts w:ascii="Century Gothic" w:eastAsia="Times New Roman" w:hAnsi="Century Gothic" w:cs="Arial"/>
              </w:rPr>
              <w:t xml:space="preserve"> or treating a Sickness, Injury, condition, disease or its symptoms, that are all of the following as determined by a Medical Director or Review Organization:</w:t>
            </w:r>
          </w:p>
          <w:p w14:paraId="307ECC68" w14:textId="77777777" w:rsidR="006F74BE" w:rsidRPr="00D61E32" w:rsidRDefault="006F74BE" w:rsidP="006F74BE">
            <w:pPr>
              <w:numPr>
                <w:ilvl w:val="0"/>
                <w:numId w:val="19"/>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required to diagnose or treat an illness, Injury, disease or its </w:t>
            </w:r>
            <w:proofErr w:type="gramStart"/>
            <w:r w:rsidRPr="00D61E32">
              <w:rPr>
                <w:rFonts w:ascii="Century Gothic" w:eastAsia="Times New Roman" w:hAnsi="Century Gothic" w:cs="Arial"/>
              </w:rPr>
              <w:t>symptoms;</w:t>
            </w:r>
            <w:proofErr w:type="gramEnd"/>
          </w:p>
          <w:p w14:paraId="0B747CF0" w14:textId="77777777" w:rsidR="006F74BE" w:rsidRPr="00D61E32" w:rsidRDefault="006F74BE" w:rsidP="006F74BE">
            <w:pPr>
              <w:numPr>
                <w:ilvl w:val="0"/>
                <w:numId w:val="19"/>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in accordance with generally accepted standards of medical </w:t>
            </w:r>
            <w:proofErr w:type="gramStart"/>
            <w:r w:rsidRPr="00D61E32">
              <w:rPr>
                <w:rFonts w:ascii="Century Gothic" w:eastAsia="Times New Roman" w:hAnsi="Century Gothic" w:cs="Arial"/>
              </w:rPr>
              <w:t>practice;</w:t>
            </w:r>
            <w:proofErr w:type="gramEnd"/>
          </w:p>
          <w:p w14:paraId="0EE9BDC9" w14:textId="77777777" w:rsidR="006F74BE" w:rsidRPr="00D61E32" w:rsidRDefault="006F74BE" w:rsidP="006F74BE">
            <w:pPr>
              <w:numPr>
                <w:ilvl w:val="0"/>
                <w:numId w:val="19"/>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clinically appropriate in terms of type, frequency, extent, site and </w:t>
            </w:r>
            <w:proofErr w:type="gramStart"/>
            <w:r w:rsidRPr="00D61E32">
              <w:rPr>
                <w:rFonts w:ascii="Century Gothic" w:eastAsia="Times New Roman" w:hAnsi="Century Gothic" w:cs="Arial"/>
              </w:rPr>
              <w:t>duration;</w:t>
            </w:r>
            <w:proofErr w:type="gramEnd"/>
          </w:p>
          <w:p w14:paraId="38227D25" w14:textId="77777777" w:rsidR="006F74BE" w:rsidRPr="00D61E32" w:rsidRDefault="006F74BE" w:rsidP="006F74BE">
            <w:pPr>
              <w:numPr>
                <w:ilvl w:val="0"/>
                <w:numId w:val="19"/>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not primarily for the convenience of the patient, Physician or other health care </w:t>
            </w:r>
            <w:proofErr w:type="gramStart"/>
            <w:r w:rsidRPr="00D61E32">
              <w:rPr>
                <w:rFonts w:ascii="Century Gothic" w:eastAsia="Times New Roman" w:hAnsi="Century Gothic" w:cs="Arial"/>
              </w:rPr>
              <w:t>provider;</w:t>
            </w:r>
            <w:proofErr w:type="gramEnd"/>
            <w:r w:rsidRPr="00D61E32">
              <w:rPr>
                <w:rFonts w:ascii="Century Gothic" w:eastAsia="Times New Roman" w:hAnsi="Century Gothic" w:cs="Arial"/>
              </w:rPr>
              <w:t xml:space="preserve"> </w:t>
            </w:r>
          </w:p>
          <w:p w14:paraId="1E27C5F7" w14:textId="77777777" w:rsidR="006F74BE" w:rsidRPr="00D61E32" w:rsidRDefault="006F74BE" w:rsidP="006F74BE">
            <w:pPr>
              <w:numPr>
                <w:ilvl w:val="0"/>
                <w:numId w:val="19"/>
              </w:numPr>
              <w:spacing w:after="0" w:line="240" w:lineRule="auto"/>
              <w:rPr>
                <w:rFonts w:ascii="Century Gothic" w:eastAsia="Times New Roman" w:hAnsi="Century Gothic" w:cs="Arial"/>
              </w:rPr>
            </w:pPr>
            <w:r w:rsidRPr="00D61E32">
              <w:rPr>
                <w:rFonts w:ascii="Century Gothic" w:eastAsia="Times New Roman" w:hAnsi="Century Gothic" w:cs="Arial"/>
              </w:rPr>
              <w:t>not more costly than an alternative service(s), medication(s) or supply(</w:t>
            </w:r>
            <w:proofErr w:type="spellStart"/>
            <w:r w:rsidRPr="00D61E32">
              <w:rPr>
                <w:rFonts w:ascii="Century Gothic" w:eastAsia="Times New Roman" w:hAnsi="Century Gothic" w:cs="Arial"/>
              </w:rPr>
              <w:t>ies</w:t>
            </w:r>
            <w:proofErr w:type="spellEnd"/>
            <w:r w:rsidRPr="00D61E32">
              <w:rPr>
                <w:rFonts w:ascii="Century Gothic" w:eastAsia="Times New Roman" w:hAnsi="Century Gothic" w:cs="Arial"/>
              </w:rPr>
              <w:t xml:space="preserve">) that is at least as likely to produce equivalent therapeutic or diagnostic results with the same safety profile as to the prevention, evaluation, diagnosis or treatment of your Sickness, Injury, condition, </w:t>
            </w:r>
            <w:proofErr w:type="gramStart"/>
            <w:r w:rsidRPr="00D61E32">
              <w:rPr>
                <w:rFonts w:ascii="Century Gothic" w:eastAsia="Times New Roman" w:hAnsi="Century Gothic" w:cs="Arial"/>
              </w:rPr>
              <w:t>disease</w:t>
            </w:r>
            <w:proofErr w:type="gramEnd"/>
            <w:r w:rsidRPr="00D61E32">
              <w:rPr>
                <w:rFonts w:ascii="Century Gothic" w:eastAsia="Times New Roman" w:hAnsi="Century Gothic" w:cs="Arial"/>
              </w:rPr>
              <w:t xml:space="preserve"> or its symptoms; and</w:t>
            </w:r>
          </w:p>
          <w:p w14:paraId="76E2602E" w14:textId="77777777" w:rsidR="006F74BE" w:rsidRPr="00D61E32" w:rsidRDefault="006F74BE" w:rsidP="006F74BE">
            <w:pPr>
              <w:numPr>
                <w:ilvl w:val="0"/>
                <w:numId w:val="19"/>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rendered in the least intensive setting that is appropriate for the delivery of the services, </w:t>
            </w:r>
            <w:proofErr w:type="gramStart"/>
            <w:r w:rsidRPr="00D61E32">
              <w:rPr>
                <w:rFonts w:ascii="Century Gothic" w:eastAsia="Times New Roman" w:hAnsi="Century Gothic" w:cs="Arial"/>
              </w:rPr>
              <w:t>supplies</w:t>
            </w:r>
            <w:proofErr w:type="gramEnd"/>
            <w:r w:rsidRPr="00D61E32">
              <w:rPr>
                <w:rFonts w:ascii="Century Gothic" w:eastAsia="Times New Roman" w:hAnsi="Century Gothic" w:cs="Arial"/>
              </w:rPr>
              <w:t xml:space="preserve"> or medications.  Where applicable, the Medical Director or Review Organization may compare the cost-effectiveness of alternative services, supplies, </w:t>
            </w:r>
            <w:proofErr w:type="gramStart"/>
            <w:r w:rsidRPr="00D61E32">
              <w:rPr>
                <w:rFonts w:ascii="Century Gothic" w:eastAsia="Times New Roman" w:hAnsi="Century Gothic" w:cs="Arial"/>
              </w:rPr>
              <w:t>medications</w:t>
            </w:r>
            <w:proofErr w:type="gramEnd"/>
            <w:r w:rsidRPr="00D61E32">
              <w:rPr>
                <w:rFonts w:ascii="Century Gothic" w:eastAsia="Times New Roman" w:hAnsi="Century Gothic" w:cs="Arial"/>
              </w:rPr>
              <w:t xml:space="preserve"> or settings when determining </w:t>
            </w:r>
            <w:proofErr w:type="gramStart"/>
            <w:r w:rsidRPr="00D61E32">
              <w:rPr>
                <w:rFonts w:ascii="Century Gothic" w:eastAsia="Times New Roman" w:hAnsi="Century Gothic" w:cs="Arial"/>
              </w:rPr>
              <w:t>least</w:t>
            </w:r>
            <w:proofErr w:type="gramEnd"/>
            <w:r w:rsidRPr="00D61E32">
              <w:rPr>
                <w:rFonts w:ascii="Century Gothic" w:eastAsia="Times New Roman" w:hAnsi="Century Gothic" w:cs="Arial"/>
              </w:rPr>
              <w:t xml:space="preserve"> intensive setting.</w:t>
            </w:r>
          </w:p>
          <w:p w14:paraId="101B0D44" w14:textId="4327251A"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i/>
                <w:iCs/>
              </w:rPr>
              <w:t>Note</w:t>
            </w:r>
            <w:r w:rsidRPr="00D61E32">
              <w:rPr>
                <w:rFonts w:ascii="Century Gothic" w:eastAsia="Times New Roman" w:hAnsi="Century Gothic" w:cs="Arial"/>
              </w:rPr>
              <w:t xml:space="preserve">: Cigna Health Management, Inc., an affiliate of CHLIC performs utilization reviews for most medical/surgical (M/S) benefits. A separate entity, </w:t>
            </w:r>
            <w:proofErr w:type="spellStart"/>
            <w:r w:rsidRPr="00D61E32">
              <w:rPr>
                <w:rFonts w:ascii="Century Gothic" w:eastAsia="Times New Roman" w:hAnsi="Century Gothic" w:cs="Arial"/>
              </w:rPr>
              <w:t>eviCore</w:t>
            </w:r>
            <w:proofErr w:type="spellEnd"/>
            <w:r w:rsidRPr="00D61E32">
              <w:rPr>
                <w:rFonts w:ascii="Century Gothic" w:eastAsia="Times New Roman" w:hAnsi="Century Gothic" w:cs="Arial"/>
              </w:rPr>
              <w:t xml:space="preserve">, reviews certain M/S services for Cigna, American Specialty Health, reviews physical therapy and occupational therapy on behalf of CHLIC and both national and regional vendors to perform UM. All entities adhere to Cigna’s policies and procedures when performing utilization reviews, and </w:t>
            </w:r>
            <w:proofErr w:type="gramStart"/>
            <w:r w:rsidRPr="00D61E32">
              <w:rPr>
                <w:rFonts w:ascii="Century Gothic" w:eastAsia="Times New Roman" w:hAnsi="Century Gothic" w:cs="Arial"/>
              </w:rPr>
              <w:t>all of</w:t>
            </w:r>
            <w:proofErr w:type="gramEnd"/>
            <w:r w:rsidRPr="00D61E32">
              <w:rPr>
                <w:rFonts w:ascii="Century Gothic" w:eastAsia="Times New Roman" w:hAnsi="Century Gothic" w:cs="Arial"/>
              </w:rPr>
              <w:t xml:space="preserve"> the data provided is inclusive of utilization reviews of certain M/S services. </w:t>
            </w:r>
            <w:proofErr w:type="spellStart"/>
            <w:r w:rsidRPr="00D61E32">
              <w:rPr>
                <w:rFonts w:ascii="Century Gothic" w:eastAsia="Times New Roman" w:hAnsi="Century Gothic" w:cs="Arial"/>
              </w:rPr>
              <w:t>Evernorth</w:t>
            </w:r>
            <w:proofErr w:type="spellEnd"/>
            <w:r w:rsidRPr="00D61E32">
              <w:rPr>
                <w:rFonts w:ascii="Century Gothic" w:eastAsia="Times New Roman" w:hAnsi="Century Gothic" w:cs="Arial"/>
              </w:rPr>
              <w:t xml:space="preserve"> Behavioral Health (“</w:t>
            </w:r>
            <w:proofErr w:type="spellStart"/>
            <w:r w:rsidRPr="00D61E32">
              <w:rPr>
                <w:rFonts w:ascii="Century Gothic" w:eastAsia="Times New Roman" w:hAnsi="Century Gothic" w:cs="Arial"/>
              </w:rPr>
              <w:t>Evernorth</w:t>
            </w:r>
            <w:proofErr w:type="spellEnd"/>
            <w:r w:rsidRPr="00D61E32">
              <w:rPr>
                <w:rFonts w:ascii="Century Gothic" w:eastAsia="Times New Roman" w:hAnsi="Century Gothic" w:cs="Arial"/>
              </w:rPr>
              <w:t xml:space="preserve">,”  “EBH” or “Behavioral Health” formerly Cigna Behavioral Health) an affiliate of CHLIC, performs utilization reviews for MH/SUD benefits. No separate entities review MH/SUD services for CHLIC. </w:t>
            </w:r>
          </w:p>
        </w:tc>
      </w:tr>
      <w:tr w:rsidR="006F74BE" w:rsidRPr="00D61E32" w14:paraId="1A5433E8" w14:textId="77777777" w:rsidTr="00D61E32">
        <w:trPr>
          <w:trHeight w:val="260"/>
        </w:trPr>
        <w:tc>
          <w:tcPr>
            <w:tcW w:w="2970" w:type="dxa"/>
            <w:tcBorders>
              <w:top w:val="single" w:sz="4" w:space="0" w:color="auto"/>
              <w:left w:val="single" w:sz="4" w:space="0" w:color="auto"/>
              <w:bottom w:val="single" w:sz="4" w:space="0" w:color="auto"/>
              <w:right w:val="single" w:sz="4" w:space="0" w:color="auto"/>
            </w:tcBorders>
          </w:tcPr>
          <w:p w14:paraId="2957BC48" w14:textId="77777777" w:rsidR="006F74BE" w:rsidRPr="00D61E32" w:rsidRDefault="006F74BE" w:rsidP="006F74BE">
            <w:pPr>
              <w:spacing w:after="0" w:line="240" w:lineRule="auto"/>
              <w:rPr>
                <w:rFonts w:ascii="Century Gothic" w:eastAsia="Times New Roman" w:hAnsi="Century Gothic" w:cs="Arial"/>
                <w:b/>
                <w:i/>
              </w:rPr>
            </w:pPr>
            <w:r w:rsidRPr="00D61E32">
              <w:rPr>
                <w:rFonts w:ascii="Century Gothic" w:eastAsia="Times New Roman" w:hAnsi="Century Gothic" w:cs="Arial"/>
                <w:b/>
                <w:i/>
              </w:rPr>
              <w:t>Step 1(b): Identify the M/S benefits/services for which Medical Necessity Criteria Development is required:</w:t>
            </w:r>
            <w:r w:rsidRPr="00D61E32">
              <w:rPr>
                <w:rFonts w:ascii="Century Gothic" w:eastAsia="Times New Roman" w:hAnsi="Century Gothic" w:cs="Arial"/>
                <w:b/>
                <w:i/>
                <w:vertAlign w:val="superscript"/>
              </w:rPr>
              <w:footnoteReference w:id="3"/>
            </w:r>
          </w:p>
          <w:p w14:paraId="714B821B"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All M/S and MH/SUD services, whether in-network or out-of-</w:t>
            </w:r>
            <w:proofErr w:type="gramStart"/>
            <w:r w:rsidRPr="00D61E32">
              <w:rPr>
                <w:rFonts w:ascii="Century Gothic" w:eastAsia="Times New Roman" w:hAnsi="Century Gothic" w:cs="Arial"/>
              </w:rPr>
              <w:t>network</w:t>
            </w:r>
            <w:proofErr w:type="gramEnd"/>
            <w:r w:rsidRPr="00D61E32">
              <w:rPr>
                <w:rFonts w:ascii="Century Gothic" w:eastAsia="Times New Roman" w:hAnsi="Century Gothic" w:cs="Arial"/>
              </w:rPr>
              <w:t xml:space="preserve"> must be medically necessary. Services determined by Cigna not to be medically necessary would </w:t>
            </w:r>
            <w:proofErr w:type="gramStart"/>
            <w:r w:rsidRPr="00D61E32">
              <w:rPr>
                <w:rFonts w:ascii="Century Gothic" w:eastAsia="Times New Roman" w:hAnsi="Century Gothic" w:cs="Arial"/>
              </w:rPr>
              <w:t>excluded</w:t>
            </w:r>
            <w:proofErr w:type="gramEnd"/>
            <w:r w:rsidRPr="00D61E32">
              <w:rPr>
                <w:rFonts w:ascii="Century Gothic" w:eastAsia="Times New Roman" w:hAnsi="Century Gothic" w:cs="Arial"/>
              </w:rPr>
              <w:t xml:space="preserve"> under the terms of the plan unless otherwise dictated by regulatory requirement or specific plan design.</w:t>
            </w:r>
          </w:p>
          <w:p w14:paraId="78CB27E3" w14:textId="77777777" w:rsidR="006F74BE" w:rsidRPr="00D61E32" w:rsidRDefault="006F74BE" w:rsidP="006F74BE">
            <w:pPr>
              <w:spacing w:after="0" w:line="240" w:lineRule="auto"/>
              <w:rPr>
                <w:rFonts w:ascii="Century Gothic" w:eastAsia="Times New Roman" w:hAnsi="Century Gothic" w:cs="Arial"/>
              </w:rPr>
            </w:pPr>
          </w:p>
        </w:tc>
        <w:tc>
          <w:tcPr>
            <w:tcW w:w="6475" w:type="dxa"/>
            <w:tcBorders>
              <w:top w:val="single" w:sz="4" w:space="0" w:color="auto"/>
              <w:left w:val="single" w:sz="4" w:space="0" w:color="auto"/>
              <w:bottom w:val="single" w:sz="4" w:space="0" w:color="auto"/>
              <w:right w:val="single" w:sz="4" w:space="0" w:color="auto"/>
            </w:tcBorders>
          </w:tcPr>
          <w:p w14:paraId="24C626D4"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
                <w:i/>
              </w:rPr>
              <w:t>Step 1(b): Identify the MH/SUD benefits/services for which Medical Necessity Criteria Development is required</w:t>
            </w:r>
            <w:r w:rsidRPr="00D61E32">
              <w:rPr>
                <w:rFonts w:ascii="Century Gothic" w:eastAsia="Times New Roman" w:hAnsi="Century Gothic" w:cs="Arial"/>
              </w:rPr>
              <w:t>:</w:t>
            </w:r>
            <w:r w:rsidRPr="00D61E32">
              <w:rPr>
                <w:rFonts w:ascii="Century Gothic" w:eastAsia="Times New Roman" w:hAnsi="Century Gothic" w:cs="Arial"/>
                <w:vertAlign w:val="superscript"/>
              </w:rPr>
              <w:footnoteReference w:id="4"/>
            </w:r>
          </w:p>
          <w:p w14:paraId="19C449E9"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All M/S and MH/SUD services, whether in-network or out-of-</w:t>
            </w:r>
            <w:proofErr w:type="gramStart"/>
            <w:r w:rsidRPr="00D61E32">
              <w:rPr>
                <w:rFonts w:ascii="Century Gothic" w:eastAsia="Times New Roman" w:hAnsi="Century Gothic" w:cs="Arial"/>
              </w:rPr>
              <w:t>network</w:t>
            </w:r>
            <w:proofErr w:type="gramEnd"/>
            <w:r w:rsidRPr="00D61E32">
              <w:rPr>
                <w:rFonts w:ascii="Century Gothic" w:eastAsia="Times New Roman" w:hAnsi="Century Gothic" w:cs="Arial"/>
              </w:rPr>
              <w:t xml:space="preserve"> must be medically necessary. Services determined by Cigna not to be medically necessary would </w:t>
            </w:r>
            <w:proofErr w:type="gramStart"/>
            <w:r w:rsidRPr="00D61E32">
              <w:rPr>
                <w:rFonts w:ascii="Century Gothic" w:eastAsia="Times New Roman" w:hAnsi="Century Gothic" w:cs="Arial"/>
              </w:rPr>
              <w:t>excluded</w:t>
            </w:r>
            <w:proofErr w:type="gramEnd"/>
            <w:r w:rsidRPr="00D61E32">
              <w:rPr>
                <w:rFonts w:ascii="Century Gothic" w:eastAsia="Times New Roman" w:hAnsi="Century Gothic" w:cs="Arial"/>
              </w:rPr>
              <w:t xml:space="preserve"> under the terms of the plan unless otherwise dictated by regulatory requirement or specific plan design.</w:t>
            </w:r>
          </w:p>
        </w:tc>
      </w:tr>
      <w:tr w:rsidR="006F74BE" w:rsidRPr="00D61E32" w14:paraId="6C8FAAB8" w14:textId="77777777" w:rsidTr="004138AC">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2B5810F7" w14:textId="77777777" w:rsidR="006F74BE" w:rsidRPr="00D61E32" w:rsidRDefault="006F74BE" w:rsidP="006F74BE">
            <w:pPr>
              <w:spacing w:after="0" w:line="240" w:lineRule="auto"/>
              <w:rPr>
                <w:rFonts w:ascii="Century Gothic" w:eastAsia="Times New Roman" w:hAnsi="Century Gothic" w:cs="Arial"/>
                <w:b/>
                <w:bCs/>
              </w:rPr>
            </w:pPr>
            <w:r w:rsidRPr="00D61E32">
              <w:rPr>
                <w:rFonts w:ascii="Century Gothic" w:eastAsia="Times New Roman" w:hAnsi="Century Gothic" w:cs="Arial"/>
                <w:b/>
                <w:bCs/>
              </w:rPr>
              <w:t>Step 2 – Identify the factors used to determine that Medical Necessity Criteria Development will apply to mental health or substance use disorder benefits and medical or surgical benefits</w:t>
            </w:r>
            <w:r w:rsidRPr="00D61E32">
              <w:rPr>
                <w:rFonts w:ascii="Century Gothic" w:eastAsia="Times New Roman" w:hAnsi="Century Gothic" w:cs="Arial"/>
                <w:b/>
                <w:bCs/>
                <w:vertAlign w:val="superscript"/>
              </w:rPr>
              <w:footnoteReference w:id="5"/>
            </w:r>
          </w:p>
        </w:tc>
      </w:tr>
      <w:tr w:rsidR="006F74BE" w:rsidRPr="00D61E32" w14:paraId="1E525250" w14:textId="77777777" w:rsidTr="00D61E32">
        <w:trPr>
          <w:trHeight w:val="5777"/>
        </w:trPr>
        <w:tc>
          <w:tcPr>
            <w:tcW w:w="2970" w:type="dxa"/>
            <w:tcBorders>
              <w:top w:val="single" w:sz="4" w:space="0" w:color="auto"/>
              <w:left w:val="single" w:sz="4" w:space="0" w:color="auto"/>
              <w:bottom w:val="single" w:sz="4" w:space="0" w:color="auto"/>
              <w:right w:val="single" w:sz="4" w:space="0" w:color="auto"/>
            </w:tcBorders>
          </w:tcPr>
          <w:p w14:paraId="5E9550A0"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
              </w:rPr>
              <w:t>Medical/Surgical</w:t>
            </w:r>
            <w:r w:rsidRPr="00D61E32">
              <w:rPr>
                <w:rFonts w:ascii="Century Gothic" w:eastAsia="Times New Roman" w:hAnsi="Century Gothic" w:cs="Arial"/>
              </w:rPr>
              <w:t>:</w:t>
            </w:r>
          </w:p>
          <w:p w14:paraId="1E97C7C0"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 xml:space="preserve">Cigna </w:t>
            </w:r>
          </w:p>
          <w:p w14:paraId="3FD6C8DF" w14:textId="77777777" w:rsidR="006F74BE" w:rsidRPr="00D61E32" w:rsidRDefault="006F74BE" w:rsidP="006F74BE">
            <w:pPr>
              <w:spacing w:after="0" w:line="240" w:lineRule="auto"/>
              <w:rPr>
                <w:rFonts w:ascii="Century Gothic" w:eastAsia="Times New Roman" w:hAnsi="Century Gothic" w:cs="Arial"/>
                <w:i/>
                <w:iCs/>
              </w:rPr>
            </w:pPr>
            <w:r w:rsidRPr="00D61E32">
              <w:rPr>
                <w:rFonts w:ascii="Century Gothic" w:eastAsia="Times New Roman" w:hAnsi="Century Gothic" w:cs="Arial"/>
                <w:i/>
                <w:iCs/>
              </w:rPr>
              <w:t xml:space="preserve">Development of Clinical Criteria </w:t>
            </w:r>
          </w:p>
          <w:p w14:paraId="2DE4EEBA"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Cigna utilizes its own internally developed Coverage Policies (medical necessity criteria) and the MCG</w:t>
            </w:r>
            <w:r w:rsidRPr="00D61E32">
              <w:rPr>
                <w:rFonts w:ascii="Century Gothic" w:eastAsia="Times New Roman" w:hAnsi="Century Gothic" w:cs="Arial"/>
                <w:vertAlign w:val="superscript"/>
              </w:rPr>
              <w:t>TM</w:t>
            </w:r>
            <w:r w:rsidRPr="00D61E32">
              <w:rPr>
                <w:rFonts w:ascii="Century Gothic" w:eastAsia="Times New Roman" w:hAnsi="Century Gothic" w:cs="Arial"/>
              </w:rPr>
              <w:t xml:space="preserve"> Guidelines when conducting medical necessity reviews of M/S services, procedures, devices, equipment, imaging, diagnostic </w:t>
            </w:r>
            <w:proofErr w:type="gramStart"/>
            <w:r w:rsidRPr="00D61E32">
              <w:rPr>
                <w:rFonts w:ascii="Century Gothic" w:eastAsia="Times New Roman" w:hAnsi="Century Gothic" w:cs="Arial"/>
              </w:rPr>
              <w:t>interventions</w:t>
            </w:r>
            <w:proofErr w:type="gramEnd"/>
            <w:r w:rsidRPr="00D61E32">
              <w:rPr>
                <w:rFonts w:ascii="Century Gothic" w:eastAsia="Times New Roman" w:hAnsi="Century Gothic" w:cs="Arial"/>
              </w:rPr>
              <w:t xml:space="preserve"> and  its own internally developed Coverage Policies and the MCG</w:t>
            </w:r>
            <w:r w:rsidRPr="00D61E32">
              <w:rPr>
                <w:rFonts w:ascii="Century Gothic" w:eastAsia="Times New Roman" w:hAnsi="Century Gothic" w:cs="Arial"/>
                <w:vertAlign w:val="superscript"/>
              </w:rPr>
              <w:t>TM</w:t>
            </w:r>
            <w:r w:rsidRPr="00D61E32">
              <w:rPr>
                <w:rFonts w:ascii="Century Gothic" w:eastAsia="Times New Roman" w:hAnsi="Century Gothic" w:cs="Arial"/>
              </w:rPr>
              <w:t xml:space="preserve"> Care Guidelines.  </w:t>
            </w:r>
          </w:p>
          <w:p w14:paraId="1EF5CD4F"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The Medical Technology Assessment Committee (MTAC) establishes and maintains clinical guidelines and medical necessity criteria in the form of published Coverage Policies pertaining to the various medical and behavioral health services, therapies, procedures, devices, </w:t>
            </w:r>
            <w:proofErr w:type="gramStart"/>
            <w:r w:rsidRPr="00D61E32">
              <w:rPr>
                <w:rFonts w:ascii="Century Gothic" w:eastAsia="Times New Roman" w:hAnsi="Century Gothic" w:cs="Arial"/>
              </w:rPr>
              <w:t>technologies</w:t>
            </w:r>
            <w:proofErr w:type="gramEnd"/>
            <w:r w:rsidRPr="00D61E32">
              <w:rPr>
                <w:rFonts w:ascii="Century Gothic" w:eastAsia="Times New Roman" w:hAnsi="Century Gothic" w:cs="Arial"/>
              </w:rPr>
              <w:t xml:space="preserve"> and pharmaceuticals to be used for utilization management purposes. This includes Coverage Policies that address M/S services determined to be experimental and investigational.</w:t>
            </w:r>
          </w:p>
          <w:p w14:paraId="517A6AE6" w14:textId="77777777" w:rsidR="006F74BE" w:rsidRPr="00D61E32" w:rsidRDefault="006F74BE" w:rsidP="006F74BE">
            <w:pPr>
              <w:spacing w:after="0" w:line="240" w:lineRule="auto"/>
              <w:rPr>
                <w:rFonts w:ascii="Century Gothic" w:eastAsia="Times New Roman" w:hAnsi="Century Gothic" w:cs="Arial"/>
                <w:i/>
                <w:iCs/>
              </w:rPr>
            </w:pPr>
            <w:r w:rsidRPr="00D61E32">
              <w:rPr>
                <w:rFonts w:ascii="Century Gothic" w:eastAsia="Times New Roman" w:hAnsi="Century Gothic" w:cs="Arial"/>
                <w:i/>
                <w:iCs/>
              </w:rPr>
              <w:t xml:space="preserve">Determining Medical Necessity </w:t>
            </w:r>
          </w:p>
          <w:p w14:paraId="6063DB7C"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 maintains medical necessity criteria (also referred to as clinical criteria) for all medical health services.  These criteria are either nationally recognized criteria </w:t>
            </w:r>
            <w:proofErr w:type="gramStart"/>
            <w:r w:rsidRPr="00D61E32">
              <w:rPr>
                <w:rFonts w:ascii="Century Gothic" w:eastAsia="Times New Roman" w:hAnsi="Century Gothic" w:cs="Arial"/>
              </w:rPr>
              <w:t>sets</w:t>
            </w:r>
            <w:proofErr w:type="gramEnd"/>
            <w:r w:rsidRPr="00D61E32">
              <w:rPr>
                <w:rFonts w:ascii="Century Gothic" w:eastAsia="Times New Roman" w:hAnsi="Century Gothic" w:cs="Arial"/>
              </w:rPr>
              <w:t xml:space="preserve">, such as those developed by MCG or are developed by Cigna from the comparison of national, scientific and evidenced based criteria sets. </w:t>
            </w:r>
          </w:p>
          <w:p w14:paraId="71E80D65" w14:textId="77777777" w:rsidR="006F74BE" w:rsidRPr="00D61E32" w:rsidRDefault="006F74BE" w:rsidP="006F74BE">
            <w:pPr>
              <w:spacing w:after="0" w:line="240" w:lineRule="auto"/>
              <w:rPr>
                <w:rFonts w:ascii="Century Gothic" w:eastAsia="Times New Roman" w:hAnsi="Century Gothic" w:cs="Arial"/>
              </w:rPr>
            </w:pPr>
          </w:p>
          <w:p w14:paraId="5EDF42F3" w14:textId="5C1941E0" w:rsidR="006F74BE" w:rsidRPr="00D61E32" w:rsidRDefault="006F74BE" w:rsidP="006F74BE">
            <w:pPr>
              <w:spacing w:after="0" w:line="240" w:lineRule="auto"/>
              <w:rPr>
                <w:rFonts w:ascii="Century Gothic" w:eastAsia="Times New Roman" w:hAnsi="Century Gothic" w:cs="Arial"/>
                <w:b/>
              </w:rPr>
            </w:pPr>
            <w:r w:rsidRPr="00D61E32">
              <w:rPr>
                <w:rFonts w:ascii="Century Gothic" w:eastAsia="Times New Roman" w:hAnsi="Century Gothic" w:cs="Arial"/>
              </w:rPr>
              <w:t>Cigna requires all services theoretically be medically necessary as a condition of coverage; therefore, Medical Necessity applies to all M/S benefits in each benefit classification based on objective clinical criteria unless otherwise dictated by regulatory requirement or specific plan design. This is an industry standard for health insurance coverage. Clinical coverage policies may incorporate, without limitation and as applicable, criteria relating to U.S. Food and Drug Administration-approved labeling, the standard medical reference compendia and peer-reviewed, evidence-based scientific literature or guidelines.</w:t>
            </w:r>
          </w:p>
        </w:tc>
        <w:tc>
          <w:tcPr>
            <w:tcW w:w="6475" w:type="dxa"/>
            <w:tcBorders>
              <w:top w:val="single" w:sz="4" w:space="0" w:color="auto"/>
              <w:left w:val="single" w:sz="4" w:space="0" w:color="auto"/>
              <w:bottom w:val="single" w:sz="4" w:space="0" w:color="auto"/>
              <w:right w:val="single" w:sz="4" w:space="0" w:color="auto"/>
            </w:tcBorders>
          </w:tcPr>
          <w:p w14:paraId="3618592B"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
              </w:rPr>
              <w:t>MH/SUD</w:t>
            </w:r>
            <w:r w:rsidRPr="00D61E32">
              <w:rPr>
                <w:rFonts w:ascii="Century Gothic" w:eastAsia="Times New Roman" w:hAnsi="Century Gothic" w:cs="Arial"/>
              </w:rPr>
              <w:t>:</w:t>
            </w:r>
          </w:p>
          <w:p w14:paraId="2466CAF6"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 xml:space="preserve">Cigna </w:t>
            </w:r>
          </w:p>
          <w:p w14:paraId="1684FB63" w14:textId="77777777" w:rsidR="006F74BE" w:rsidRPr="00D61E32" w:rsidRDefault="006F74BE" w:rsidP="006F74BE">
            <w:pPr>
              <w:spacing w:after="0" w:line="240" w:lineRule="auto"/>
              <w:rPr>
                <w:rFonts w:ascii="Century Gothic" w:eastAsia="Times New Roman" w:hAnsi="Century Gothic" w:cs="Arial"/>
                <w:i/>
                <w:iCs/>
              </w:rPr>
            </w:pPr>
            <w:r w:rsidRPr="00D61E32">
              <w:rPr>
                <w:rFonts w:ascii="Century Gothic" w:eastAsia="Times New Roman" w:hAnsi="Century Gothic" w:cs="Arial"/>
                <w:i/>
                <w:iCs/>
              </w:rPr>
              <w:t xml:space="preserve">Development of Clinical Criteria </w:t>
            </w:r>
          </w:p>
          <w:p w14:paraId="06ACCB67" w14:textId="77777777" w:rsidR="006F74BE" w:rsidRPr="00D61E32" w:rsidRDefault="006F74BE" w:rsidP="006F74BE">
            <w:pPr>
              <w:spacing w:after="0" w:line="240" w:lineRule="auto"/>
              <w:rPr>
                <w:rFonts w:ascii="Century Gothic" w:eastAsia="Times New Roman" w:hAnsi="Century Gothic" w:cs="Arial"/>
                <w:iCs/>
              </w:rPr>
            </w:pPr>
            <w:r w:rsidRPr="00D61E32">
              <w:rPr>
                <w:rFonts w:ascii="Century Gothic" w:eastAsia="Times New Roman" w:hAnsi="Century Gothic" w:cs="Arial"/>
                <w:iCs/>
              </w:rPr>
              <w:t>Cigna utilizes its own internally developed Coverage Policies (medical necessity criteria) and the MCG</w:t>
            </w:r>
            <w:r w:rsidRPr="00D61E32">
              <w:rPr>
                <w:rFonts w:ascii="Century Gothic" w:eastAsia="Times New Roman" w:hAnsi="Century Gothic" w:cs="Arial"/>
                <w:iCs/>
                <w:vertAlign w:val="superscript"/>
              </w:rPr>
              <w:t>TM</w:t>
            </w:r>
            <w:r w:rsidRPr="00D61E32">
              <w:rPr>
                <w:rFonts w:ascii="Century Gothic" w:eastAsia="Times New Roman" w:hAnsi="Century Gothic" w:cs="Arial"/>
                <w:iCs/>
              </w:rPr>
              <w:t xml:space="preserve"> Guidelines when conducting medical necessity reviews of MH services, procedures, devices, equipment, imaging, diagnostic interventions and the ASAM criteria for conducting medical necessity reviews of SUD services. </w:t>
            </w:r>
          </w:p>
          <w:p w14:paraId="648270EF" w14:textId="77777777" w:rsidR="006F74BE" w:rsidRPr="00D61E32" w:rsidRDefault="006F74BE" w:rsidP="006F74BE">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The Medical Technology Assessment Committee (MTAC) establishes and maintains clinical guidelines and medical necessity criteria in the form of published Coverage Policies pertaining to the various medical and behavioral health services, therapies, procedures, devices, </w:t>
            </w:r>
            <w:proofErr w:type="gramStart"/>
            <w:r w:rsidRPr="00D61E32">
              <w:rPr>
                <w:rFonts w:ascii="Century Gothic" w:eastAsia="Times New Roman" w:hAnsi="Century Gothic" w:cs="Arial"/>
                <w:iCs/>
              </w:rPr>
              <w:t>technologies</w:t>
            </w:r>
            <w:proofErr w:type="gramEnd"/>
            <w:r w:rsidRPr="00D61E32">
              <w:rPr>
                <w:rFonts w:ascii="Century Gothic" w:eastAsia="Times New Roman" w:hAnsi="Century Gothic" w:cs="Arial"/>
                <w:iCs/>
              </w:rPr>
              <w:t xml:space="preserve"> and pharmaceuticals to be used for utilization management purposes. This includes Coverage Policies that address MH/SUD services determined to be experimental and investigational.</w:t>
            </w:r>
          </w:p>
          <w:p w14:paraId="7D21324E" w14:textId="77777777" w:rsidR="006F74BE" w:rsidRPr="00D61E32" w:rsidRDefault="006F74BE" w:rsidP="006F74BE">
            <w:pPr>
              <w:spacing w:after="0" w:line="240" w:lineRule="auto"/>
              <w:rPr>
                <w:rFonts w:ascii="Century Gothic" w:eastAsia="Times New Roman" w:hAnsi="Century Gothic" w:cs="Arial"/>
                <w:i/>
                <w:iCs/>
              </w:rPr>
            </w:pPr>
            <w:r w:rsidRPr="00D61E32">
              <w:rPr>
                <w:rFonts w:ascii="Century Gothic" w:eastAsia="Times New Roman" w:hAnsi="Century Gothic" w:cs="Arial"/>
                <w:i/>
                <w:iCs/>
              </w:rPr>
              <w:t xml:space="preserve">Determining Medical Necessity </w:t>
            </w:r>
          </w:p>
          <w:p w14:paraId="7D93D0F2"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 maintains medical necessity criteria (also referred to as clinical criteria) for all behavioral health services.  These criteria are either nationally recognized criteria </w:t>
            </w:r>
            <w:proofErr w:type="gramStart"/>
            <w:r w:rsidRPr="00D61E32">
              <w:rPr>
                <w:rFonts w:ascii="Century Gothic" w:eastAsia="Times New Roman" w:hAnsi="Century Gothic" w:cs="Arial"/>
              </w:rPr>
              <w:t>sets</w:t>
            </w:r>
            <w:proofErr w:type="gramEnd"/>
            <w:r w:rsidRPr="00D61E32">
              <w:rPr>
                <w:rFonts w:ascii="Century Gothic" w:eastAsia="Times New Roman" w:hAnsi="Century Gothic" w:cs="Arial"/>
              </w:rPr>
              <w:t xml:space="preserve">, such as those developed by MCG, the American Society of Addiction Medicine (“ASAM”) or are developed by Cigna from the comparison of national, scientific and evidenced based criteria sets. </w:t>
            </w:r>
          </w:p>
          <w:p w14:paraId="3306F32B"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rPr>
              <w:t>Cigna requires all services theoretically be medically necessary as a condition of coverage; therefore, Medical Necessity applies to all MH/SUD benefits in each benefit classification based on objective clinical criteria unless otherwise dictated by regulatory requirement or specific plan design. This is an industry standard for health insurance coverage. Clinical coverage policies may incorporate, without limitation and as applicable, criteria relating to U.S. Food and Drug Administration-approved labeling, the standard medical reference compendia and peer-reviewed, evidence-based scientific literature or guidelines.</w:t>
            </w:r>
          </w:p>
          <w:p w14:paraId="2CAB801B" w14:textId="77777777" w:rsidR="006F74BE" w:rsidRPr="00D61E32" w:rsidRDefault="006F74BE" w:rsidP="006F74BE">
            <w:pPr>
              <w:spacing w:after="0" w:line="240" w:lineRule="auto"/>
              <w:rPr>
                <w:rFonts w:ascii="Century Gothic" w:eastAsia="Times New Roman" w:hAnsi="Century Gothic" w:cs="Arial"/>
              </w:rPr>
            </w:pPr>
          </w:p>
          <w:p w14:paraId="4A5E4A39" w14:textId="77777777" w:rsidR="006F74BE" w:rsidRPr="00D61E32" w:rsidRDefault="006F74BE" w:rsidP="006F74BE">
            <w:pPr>
              <w:spacing w:after="0" w:line="240" w:lineRule="auto"/>
              <w:ind w:left="720"/>
              <w:rPr>
                <w:rFonts w:ascii="Century Gothic" w:eastAsia="Times New Roman" w:hAnsi="Century Gothic" w:cs="Arial"/>
              </w:rPr>
            </w:pPr>
          </w:p>
        </w:tc>
      </w:tr>
      <w:tr w:rsidR="006F74BE" w:rsidRPr="00D61E32" w14:paraId="44064FED" w14:textId="77777777" w:rsidTr="004138AC">
        <w:trPr>
          <w:trHeight w:val="720"/>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572C863A" w14:textId="77777777" w:rsidR="006F74BE" w:rsidRPr="00D61E32" w:rsidRDefault="006F74BE" w:rsidP="006F74BE">
            <w:pPr>
              <w:spacing w:after="0" w:line="240" w:lineRule="auto"/>
              <w:rPr>
                <w:rFonts w:ascii="Century Gothic" w:eastAsia="Times New Roman" w:hAnsi="Century Gothic" w:cs="Arial"/>
                <w:b/>
                <w:bCs/>
              </w:rPr>
            </w:pPr>
            <w:r w:rsidRPr="00D61E32">
              <w:rPr>
                <w:rFonts w:ascii="Century Gothic" w:eastAsia="Times New Roman" w:hAnsi="Century Gothic" w:cs="Arial"/>
                <w:b/>
                <w:bCs/>
              </w:rPr>
              <w:t>Step 3 – Identify the evidentiary standards used for the factors identified in Step 2, when applicable, provided that every factor shall be defined, and any other source or evidence relied upon to design and apply Medical Necessity Criteria Development to mental health or substance use disorder benefits and medical or surgical benefits.</w:t>
            </w:r>
          </w:p>
          <w:p w14:paraId="62263DA1" w14:textId="77777777" w:rsidR="006F74BE" w:rsidRPr="00D61E32" w:rsidRDefault="006F74BE" w:rsidP="006F74BE">
            <w:pPr>
              <w:numPr>
                <w:ilvl w:val="0"/>
                <w:numId w:val="20"/>
              </w:numPr>
              <w:spacing w:after="0" w:line="240" w:lineRule="auto"/>
              <w:contextualSpacing/>
              <w:rPr>
                <w:rFonts w:ascii="Century Gothic" w:eastAsia="Times New Roman" w:hAnsi="Century Gothic" w:cs="Arial"/>
                <w:bCs/>
                <w:i/>
              </w:rPr>
            </w:pPr>
            <w:r w:rsidRPr="00D61E32">
              <w:rPr>
                <w:rFonts w:ascii="Century Gothic" w:eastAsia="Times New Roman" w:hAnsi="Century Gothic" w:cs="Arial"/>
                <w:bCs/>
                <w:i/>
              </w:rPr>
              <w:t>Analyses should explain whether any factors were given more weight than others and the reason(s) for doing so, including an evaluation of any specific data used in the determination.</w:t>
            </w:r>
          </w:p>
          <w:p w14:paraId="70172C2B" w14:textId="77777777" w:rsidR="006F74BE" w:rsidRPr="00D61E32" w:rsidRDefault="006F74BE" w:rsidP="006F74BE">
            <w:pPr>
              <w:numPr>
                <w:ilvl w:val="0"/>
                <w:numId w:val="20"/>
              </w:numPr>
              <w:spacing w:after="0" w:line="240" w:lineRule="auto"/>
              <w:contextualSpacing/>
              <w:rPr>
                <w:rFonts w:ascii="Century Gothic" w:eastAsia="Times New Roman" w:hAnsi="Century Gothic" w:cs="Arial"/>
                <w:bCs/>
                <w:i/>
              </w:rPr>
            </w:pPr>
            <w:r w:rsidRPr="00D61E32">
              <w:rPr>
                <w:rFonts w:ascii="Century Gothic" w:eastAsia="Times New Roman" w:hAnsi="Century Gothic" w:cs="Arial"/>
                <w:bCs/>
                <w:i/>
              </w:rPr>
              <w:t>To the extent the plan or issuer defines any of the factors, evidentiary standards, strategies, or processes in a quantitative manner, it must include the precise definitions used and any supporting sources.</w:t>
            </w:r>
            <w:r w:rsidRPr="00D61E32">
              <w:rPr>
                <w:rFonts w:ascii="Century Gothic" w:eastAsia="Times New Roman" w:hAnsi="Century Gothic" w:cs="Arial"/>
                <w:bCs/>
                <w:i/>
                <w:vertAlign w:val="superscript"/>
              </w:rPr>
              <w:footnoteReference w:id="6"/>
            </w:r>
          </w:p>
        </w:tc>
      </w:tr>
      <w:tr w:rsidR="006F74BE" w:rsidRPr="00D61E32" w14:paraId="377022DF" w14:textId="77777777" w:rsidTr="00D61E32">
        <w:trPr>
          <w:trHeight w:val="1720"/>
        </w:trPr>
        <w:tc>
          <w:tcPr>
            <w:tcW w:w="2970" w:type="dxa"/>
            <w:tcBorders>
              <w:top w:val="single" w:sz="4" w:space="0" w:color="auto"/>
              <w:left w:val="single" w:sz="4" w:space="0" w:color="auto"/>
              <w:bottom w:val="single" w:sz="4" w:space="0" w:color="auto"/>
              <w:right w:val="single" w:sz="4" w:space="0" w:color="auto"/>
            </w:tcBorders>
          </w:tcPr>
          <w:p w14:paraId="41351CED"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
              </w:rPr>
              <w:t>Medical/Surgical</w:t>
            </w:r>
            <w:r w:rsidRPr="00D61E32">
              <w:rPr>
                <w:rFonts w:ascii="Century Gothic" w:eastAsia="Times New Roman" w:hAnsi="Century Gothic" w:cs="Arial"/>
              </w:rPr>
              <w:t>:</w:t>
            </w:r>
          </w:p>
          <w:p w14:paraId="751237D1"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 xml:space="preserve">Cigna </w:t>
            </w:r>
          </w:p>
          <w:p w14:paraId="56F430BB"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The use of the various guidelines for clinical criteria/medical necessity (both external and internal) do not overlap and there is no hierarchical weight assigned to the standard, source, or guideline in any given review for clinical criteria. In other words, where a specific Cigna medical policy applies, that medical policy applies in whole without regard to other more general guidelines, like the ASAM Criteria or MCG Cigna's Coverage Policy Unit (CPU), in partnership with Cigna's Medical Technology Assessment Committee (“MTAC”), conducts evidence-based assessments of the medical literature and other sources of information pertaining to the safety and effectiveness of medical and behavioral health services, therapies, procedures, devices, technologies and pharmaceuticals. </w:t>
            </w:r>
          </w:p>
          <w:p w14:paraId="66F6B438"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The MTAC’s evidence-based medicine approach ranks the categories of evidence and assigns greater weight to categories with higher levels of scientific evidence as set forth below in Cigna’s “Levels of Scientific Evidence Table” adapted from the Centre for Evidence Based Medicine, University of Oxford, March 2009 and evidenced in Cigna’s Medical Technology Assessment and Coverage Process for Determination of Medical Necessity Coverage Criteria Recommendations Policy (OPS-48): </w:t>
            </w:r>
          </w:p>
          <w:p w14:paraId="65567487" w14:textId="77777777" w:rsidR="006F74BE" w:rsidRPr="00D61E32" w:rsidRDefault="006F74BE" w:rsidP="006F74BE">
            <w:pPr>
              <w:spacing w:after="0" w:line="240" w:lineRule="auto"/>
              <w:ind w:left="720"/>
              <w:rPr>
                <w:rFonts w:ascii="Century Gothic" w:eastAsia="Times New Roman" w:hAnsi="Century Gothic" w:cs="Arial"/>
              </w:rPr>
            </w:pPr>
            <w:r w:rsidRPr="00D61E32">
              <w:rPr>
                <w:rFonts w:ascii="Century Gothic" w:eastAsia="Times New Roman" w:hAnsi="Century Gothic" w:cs="Arial"/>
              </w:rPr>
              <w:t xml:space="preserve">Level 1: Randomized Controlled Trials (RCT). Randomized, blinded, placebo-controlled, clinical trials and systematic reviews of RCTs and meta-analysis of RCTs. </w:t>
            </w:r>
          </w:p>
          <w:p w14:paraId="555E8655" w14:textId="77777777" w:rsidR="006F74BE" w:rsidRPr="00D61E32" w:rsidRDefault="006F74BE" w:rsidP="006F74BE">
            <w:pPr>
              <w:spacing w:after="0" w:line="240" w:lineRule="auto"/>
              <w:ind w:left="720"/>
              <w:rPr>
                <w:rFonts w:ascii="Century Gothic" w:eastAsia="Times New Roman" w:hAnsi="Century Gothic" w:cs="Arial"/>
              </w:rPr>
            </w:pPr>
            <w:r w:rsidRPr="00D61E32">
              <w:rPr>
                <w:rFonts w:ascii="Century Gothic" w:eastAsia="Times New Roman" w:hAnsi="Century Gothic" w:cs="Arial"/>
              </w:rPr>
              <w:t xml:space="preserve">Level 2: Non-randomized controlled trials (an experimental study, but not an ideal design). </w:t>
            </w:r>
            <w:proofErr w:type="gramStart"/>
            <w:r w:rsidRPr="00D61E32">
              <w:rPr>
                <w:rFonts w:ascii="Century Gothic" w:eastAsia="Times New Roman" w:hAnsi="Century Gothic" w:cs="Arial"/>
              </w:rPr>
              <w:t>Also</w:t>
            </w:r>
            <w:proofErr w:type="gramEnd"/>
            <w:r w:rsidRPr="00D61E32">
              <w:rPr>
                <w:rFonts w:ascii="Century Gothic" w:eastAsia="Times New Roman" w:hAnsi="Century Gothic" w:cs="Arial"/>
              </w:rPr>
              <w:t xml:space="preserve"> systematic reviews and meta-analyses of non-randomized controlled trials. </w:t>
            </w:r>
          </w:p>
          <w:p w14:paraId="0D806E9E" w14:textId="77777777" w:rsidR="006F74BE" w:rsidRPr="00D61E32" w:rsidRDefault="006F74BE" w:rsidP="006F74BE">
            <w:pPr>
              <w:spacing w:after="0" w:line="240" w:lineRule="auto"/>
              <w:ind w:left="720"/>
              <w:rPr>
                <w:rFonts w:ascii="Century Gothic" w:eastAsia="Times New Roman" w:hAnsi="Century Gothic" w:cs="Arial"/>
              </w:rPr>
            </w:pPr>
            <w:r w:rsidRPr="00D61E32">
              <w:rPr>
                <w:rFonts w:ascii="Century Gothic" w:eastAsia="Times New Roman" w:hAnsi="Century Gothic" w:cs="Arial"/>
              </w:rPr>
              <w:t xml:space="preserve">Level 3: Observational studies – e.g. cohort, case-control studies (non-experimental studies). </w:t>
            </w:r>
            <w:proofErr w:type="gramStart"/>
            <w:r w:rsidRPr="00D61E32">
              <w:rPr>
                <w:rFonts w:ascii="Century Gothic" w:eastAsia="Times New Roman" w:hAnsi="Century Gothic" w:cs="Arial"/>
              </w:rPr>
              <w:t>Also</w:t>
            </w:r>
            <w:proofErr w:type="gramEnd"/>
            <w:r w:rsidRPr="00D61E32">
              <w:rPr>
                <w:rFonts w:ascii="Century Gothic" w:eastAsia="Times New Roman" w:hAnsi="Century Gothic" w:cs="Arial"/>
              </w:rPr>
              <w:t xml:space="preserve"> systematic reviews and meta-analyses of observational studies. </w:t>
            </w:r>
          </w:p>
          <w:p w14:paraId="5BBFD4E4" w14:textId="77777777" w:rsidR="006F74BE" w:rsidRPr="00D61E32" w:rsidRDefault="006F74BE" w:rsidP="006F74BE">
            <w:pPr>
              <w:spacing w:after="0" w:line="240" w:lineRule="auto"/>
              <w:ind w:left="720"/>
              <w:rPr>
                <w:rFonts w:ascii="Century Gothic" w:eastAsia="Times New Roman" w:hAnsi="Century Gothic" w:cs="Arial"/>
              </w:rPr>
            </w:pPr>
            <w:r w:rsidRPr="00D61E32">
              <w:rPr>
                <w:rFonts w:ascii="Century Gothic" w:eastAsia="Times New Roman" w:hAnsi="Century Gothic" w:cs="Arial"/>
              </w:rPr>
              <w:t xml:space="preserve">Level 4: Descriptive studies, case reports, case series, panel studies (non-experimental studies), and retrospective analyses of any kind. </w:t>
            </w:r>
            <w:proofErr w:type="gramStart"/>
            <w:r w:rsidRPr="00D61E32">
              <w:rPr>
                <w:rFonts w:ascii="Century Gothic" w:eastAsia="Times New Roman" w:hAnsi="Century Gothic" w:cs="Arial"/>
              </w:rPr>
              <w:t>Also</w:t>
            </w:r>
            <w:proofErr w:type="gramEnd"/>
            <w:r w:rsidRPr="00D61E32">
              <w:rPr>
                <w:rFonts w:ascii="Century Gothic" w:eastAsia="Times New Roman" w:hAnsi="Century Gothic" w:cs="Arial"/>
              </w:rPr>
              <w:t xml:space="preserve"> systematic reviews and meta-analyses of retrospective studies. </w:t>
            </w:r>
          </w:p>
          <w:p w14:paraId="4A536109" w14:textId="77777777" w:rsidR="006F74BE" w:rsidRPr="00D61E32" w:rsidRDefault="006F74BE" w:rsidP="006F74BE">
            <w:pPr>
              <w:spacing w:after="0" w:line="240" w:lineRule="auto"/>
              <w:ind w:left="720"/>
              <w:rPr>
                <w:rFonts w:ascii="Century Gothic" w:eastAsia="Times New Roman" w:hAnsi="Century Gothic" w:cs="Arial"/>
              </w:rPr>
            </w:pPr>
            <w:r w:rsidRPr="00D61E32">
              <w:rPr>
                <w:rFonts w:ascii="Century Gothic" w:eastAsia="Times New Roman" w:hAnsi="Century Gothic" w:cs="Arial"/>
              </w:rPr>
              <w:t xml:space="preserve">Level 5: Professional/organizational recommendations when based upon a valid evidence-based assessment of the available literature. </w:t>
            </w:r>
          </w:p>
          <w:p w14:paraId="53E57396"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The MTAC establishes and maintains medical necessity criteria in the form of published Coverage Policies pertaining to the various M/S and MH/SUD health services, therapies, procedures, devices, </w:t>
            </w:r>
            <w:proofErr w:type="gramStart"/>
            <w:r w:rsidRPr="00D61E32">
              <w:rPr>
                <w:rFonts w:ascii="Century Gothic" w:eastAsia="Times New Roman" w:hAnsi="Century Gothic" w:cs="Arial"/>
              </w:rPr>
              <w:t>technologies</w:t>
            </w:r>
            <w:proofErr w:type="gramEnd"/>
            <w:r w:rsidRPr="00D61E32">
              <w:rPr>
                <w:rFonts w:ascii="Century Gothic" w:eastAsia="Times New Roman" w:hAnsi="Century Gothic" w:cs="Arial"/>
              </w:rPr>
              <w:t xml:space="preserve"> and pharmaceuticals to be used for utilization management purposes.</w:t>
            </w:r>
          </w:p>
          <w:p w14:paraId="249012A4" w14:textId="77777777" w:rsidR="006F74BE" w:rsidRPr="00D61E32" w:rsidRDefault="006F74BE" w:rsidP="006F74BE">
            <w:pPr>
              <w:spacing w:after="0" w:line="240" w:lineRule="auto"/>
              <w:rPr>
                <w:rFonts w:ascii="Century Gothic" w:eastAsia="Times New Roman" w:hAnsi="Century Gothic" w:cs="Arial"/>
                <w:u w:val="single"/>
              </w:rPr>
            </w:pPr>
          </w:p>
        </w:tc>
        <w:tc>
          <w:tcPr>
            <w:tcW w:w="6475" w:type="dxa"/>
            <w:tcBorders>
              <w:top w:val="single" w:sz="4" w:space="0" w:color="auto"/>
              <w:left w:val="single" w:sz="4" w:space="0" w:color="auto"/>
              <w:bottom w:val="single" w:sz="4" w:space="0" w:color="auto"/>
              <w:right w:val="single" w:sz="4" w:space="0" w:color="auto"/>
            </w:tcBorders>
          </w:tcPr>
          <w:p w14:paraId="4627EC8D"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
              </w:rPr>
              <w:t>MH/SUD</w:t>
            </w:r>
            <w:r w:rsidRPr="00D61E32">
              <w:rPr>
                <w:rFonts w:ascii="Century Gothic" w:eastAsia="Times New Roman" w:hAnsi="Century Gothic" w:cs="Arial"/>
              </w:rPr>
              <w:t>:</w:t>
            </w:r>
          </w:p>
          <w:p w14:paraId="26D2D4BE"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Cigna</w:t>
            </w:r>
          </w:p>
          <w:p w14:paraId="01383B4B"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Same as M/S </w:t>
            </w:r>
          </w:p>
          <w:p w14:paraId="65475D8C" w14:textId="77777777" w:rsidR="006F74BE" w:rsidRPr="00D61E32" w:rsidRDefault="006F74BE" w:rsidP="006F74BE">
            <w:pPr>
              <w:spacing w:after="0" w:line="240" w:lineRule="auto"/>
              <w:rPr>
                <w:rFonts w:ascii="Century Gothic" w:eastAsia="Times New Roman" w:hAnsi="Century Gothic" w:cs="Arial"/>
                <w:b/>
                <w:bCs/>
                <w:u w:val="single"/>
              </w:rPr>
            </w:pPr>
          </w:p>
          <w:p w14:paraId="7DDCB1A1" w14:textId="77777777" w:rsidR="006F74BE" w:rsidRPr="00D61E32" w:rsidRDefault="006F74BE" w:rsidP="006F74BE">
            <w:pPr>
              <w:spacing w:after="0" w:line="240" w:lineRule="auto"/>
              <w:rPr>
                <w:rFonts w:ascii="Century Gothic" w:eastAsia="Times New Roman" w:hAnsi="Century Gothic" w:cs="Arial"/>
                <w:b/>
                <w:bCs/>
                <w:u w:val="single"/>
              </w:rPr>
            </w:pPr>
          </w:p>
          <w:p w14:paraId="169756C4" w14:textId="77777777" w:rsidR="006F74BE" w:rsidRPr="00D61E32" w:rsidRDefault="006F74BE" w:rsidP="006F74BE">
            <w:pPr>
              <w:spacing w:after="0" w:line="240" w:lineRule="auto"/>
              <w:rPr>
                <w:rFonts w:ascii="Century Gothic" w:eastAsia="Times New Roman" w:hAnsi="Century Gothic" w:cs="Arial"/>
                <w:b/>
                <w:bCs/>
                <w:u w:val="single"/>
              </w:rPr>
            </w:pPr>
          </w:p>
          <w:p w14:paraId="46E8589F" w14:textId="77777777" w:rsidR="006F74BE" w:rsidRPr="00D61E32" w:rsidRDefault="006F74BE" w:rsidP="006F74BE">
            <w:pPr>
              <w:spacing w:after="0" w:line="240" w:lineRule="auto"/>
              <w:rPr>
                <w:rFonts w:ascii="Century Gothic" w:eastAsia="Times New Roman" w:hAnsi="Century Gothic" w:cs="Arial"/>
                <w:b/>
                <w:bCs/>
                <w:u w:val="single"/>
              </w:rPr>
            </w:pPr>
          </w:p>
          <w:p w14:paraId="5A9CA72C" w14:textId="77777777" w:rsidR="006F74BE" w:rsidRPr="00D61E32" w:rsidRDefault="006F74BE" w:rsidP="006F74BE">
            <w:pPr>
              <w:spacing w:after="0" w:line="240" w:lineRule="auto"/>
              <w:rPr>
                <w:rFonts w:ascii="Century Gothic" w:eastAsia="Times New Roman" w:hAnsi="Century Gothic" w:cs="Arial"/>
                <w:b/>
                <w:bCs/>
                <w:u w:val="single"/>
              </w:rPr>
            </w:pPr>
          </w:p>
          <w:p w14:paraId="46C633E7" w14:textId="77777777" w:rsidR="006F74BE" w:rsidRPr="00D61E32" w:rsidRDefault="006F74BE" w:rsidP="006F74BE">
            <w:pPr>
              <w:spacing w:after="0" w:line="240" w:lineRule="auto"/>
              <w:rPr>
                <w:rFonts w:ascii="Century Gothic" w:eastAsia="Times New Roman" w:hAnsi="Century Gothic" w:cs="Arial"/>
                <w:b/>
                <w:bCs/>
                <w:u w:val="single"/>
              </w:rPr>
            </w:pPr>
          </w:p>
          <w:p w14:paraId="3CC1F47E" w14:textId="77777777" w:rsidR="006F74BE" w:rsidRPr="00D61E32" w:rsidRDefault="006F74BE" w:rsidP="006F74BE">
            <w:pPr>
              <w:spacing w:after="0" w:line="240" w:lineRule="auto"/>
              <w:rPr>
                <w:rFonts w:ascii="Century Gothic" w:eastAsia="Times New Roman" w:hAnsi="Century Gothic" w:cs="Arial"/>
                <w:b/>
                <w:bCs/>
                <w:u w:val="single"/>
              </w:rPr>
            </w:pPr>
          </w:p>
          <w:p w14:paraId="77CD5BDD" w14:textId="77777777" w:rsidR="006F74BE" w:rsidRPr="00D61E32" w:rsidRDefault="006F74BE" w:rsidP="006F74BE">
            <w:pPr>
              <w:spacing w:after="0" w:line="240" w:lineRule="auto"/>
              <w:rPr>
                <w:rFonts w:ascii="Century Gothic" w:eastAsia="Times New Roman" w:hAnsi="Century Gothic" w:cs="Arial"/>
                <w:b/>
                <w:bCs/>
                <w:u w:val="single"/>
              </w:rPr>
            </w:pPr>
          </w:p>
          <w:p w14:paraId="1C4A222D" w14:textId="77777777" w:rsidR="006F74BE" w:rsidRPr="00D61E32" w:rsidRDefault="006F74BE" w:rsidP="006F74BE">
            <w:pPr>
              <w:spacing w:after="0" w:line="240" w:lineRule="auto"/>
              <w:rPr>
                <w:rFonts w:ascii="Century Gothic" w:eastAsia="Times New Roman" w:hAnsi="Century Gothic" w:cs="Arial"/>
                <w:b/>
                <w:bCs/>
                <w:u w:val="single"/>
              </w:rPr>
            </w:pPr>
          </w:p>
          <w:p w14:paraId="630DD99C" w14:textId="77777777" w:rsidR="006F74BE" w:rsidRPr="00D61E32" w:rsidRDefault="006F74BE" w:rsidP="006F74BE">
            <w:pPr>
              <w:spacing w:after="0" w:line="240" w:lineRule="auto"/>
              <w:rPr>
                <w:rFonts w:ascii="Century Gothic" w:eastAsia="Times New Roman" w:hAnsi="Century Gothic" w:cs="Arial"/>
                <w:b/>
                <w:bCs/>
                <w:u w:val="single"/>
              </w:rPr>
            </w:pPr>
          </w:p>
          <w:p w14:paraId="25621788" w14:textId="77777777" w:rsidR="006F74BE" w:rsidRPr="00D61E32" w:rsidRDefault="006F74BE" w:rsidP="006F74BE">
            <w:pPr>
              <w:spacing w:after="0" w:line="240" w:lineRule="auto"/>
              <w:rPr>
                <w:rFonts w:ascii="Century Gothic" w:eastAsia="Times New Roman" w:hAnsi="Century Gothic" w:cs="Arial"/>
                <w:b/>
                <w:bCs/>
                <w:u w:val="single"/>
              </w:rPr>
            </w:pPr>
          </w:p>
          <w:p w14:paraId="3F2D786D" w14:textId="77777777" w:rsidR="006F74BE" w:rsidRPr="00D61E32" w:rsidRDefault="006F74BE" w:rsidP="006F74BE">
            <w:pPr>
              <w:spacing w:after="0" w:line="240" w:lineRule="auto"/>
              <w:rPr>
                <w:rFonts w:ascii="Century Gothic" w:eastAsia="Times New Roman" w:hAnsi="Century Gothic" w:cs="Arial"/>
                <w:b/>
                <w:bCs/>
                <w:u w:val="single"/>
              </w:rPr>
            </w:pPr>
          </w:p>
          <w:p w14:paraId="4E71B408" w14:textId="77777777" w:rsidR="006F74BE" w:rsidRPr="00D61E32" w:rsidRDefault="006F74BE" w:rsidP="006F74BE">
            <w:pPr>
              <w:spacing w:after="0" w:line="240" w:lineRule="auto"/>
              <w:rPr>
                <w:rFonts w:ascii="Century Gothic" w:eastAsia="Times New Roman" w:hAnsi="Century Gothic" w:cs="Arial"/>
                <w:b/>
                <w:bCs/>
                <w:u w:val="single"/>
              </w:rPr>
            </w:pPr>
          </w:p>
          <w:p w14:paraId="7B1466DA" w14:textId="77777777" w:rsidR="006F74BE" w:rsidRPr="00D61E32" w:rsidRDefault="006F74BE" w:rsidP="006F74BE">
            <w:pPr>
              <w:spacing w:after="0" w:line="240" w:lineRule="auto"/>
              <w:rPr>
                <w:rFonts w:ascii="Century Gothic" w:eastAsia="Times New Roman" w:hAnsi="Century Gothic" w:cs="Arial"/>
                <w:b/>
                <w:bCs/>
                <w:u w:val="single"/>
              </w:rPr>
            </w:pPr>
          </w:p>
          <w:p w14:paraId="58BAB221" w14:textId="77777777" w:rsidR="006F74BE" w:rsidRPr="00D61E32" w:rsidRDefault="006F74BE" w:rsidP="006F74BE">
            <w:pPr>
              <w:spacing w:after="0" w:line="240" w:lineRule="auto"/>
              <w:rPr>
                <w:rFonts w:ascii="Century Gothic" w:eastAsia="Times New Roman" w:hAnsi="Century Gothic" w:cs="Arial"/>
                <w:b/>
                <w:bCs/>
                <w:u w:val="single"/>
              </w:rPr>
            </w:pPr>
          </w:p>
          <w:p w14:paraId="0D507C6D" w14:textId="77777777" w:rsidR="006F74BE" w:rsidRPr="00D61E32" w:rsidRDefault="006F74BE" w:rsidP="006F74BE">
            <w:pPr>
              <w:spacing w:after="0" w:line="240" w:lineRule="auto"/>
              <w:rPr>
                <w:rFonts w:ascii="Century Gothic" w:eastAsia="Times New Roman" w:hAnsi="Century Gothic" w:cs="Arial"/>
                <w:b/>
                <w:bCs/>
                <w:u w:val="single"/>
              </w:rPr>
            </w:pPr>
          </w:p>
          <w:p w14:paraId="63C20C4E" w14:textId="77777777" w:rsidR="006F74BE" w:rsidRPr="00D61E32" w:rsidRDefault="006F74BE" w:rsidP="006F74BE">
            <w:pPr>
              <w:spacing w:after="0" w:line="240" w:lineRule="auto"/>
              <w:rPr>
                <w:rFonts w:ascii="Century Gothic" w:eastAsia="Times New Roman" w:hAnsi="Century Gothic" w:cs="Arial"/>
                <w:b/>
                <w:bCs/>
                <w:u w:val="single"/>
              </w:rPr>
            </w:pPr>
          </w:p>
          <w:p w14:paraId="265EFAB5" w14:textId="77777777" w:rsidR="006F74BE" w:rsidRPr="00D61E32" w:rsidRDefault="006F74BE" w:rsidP="006F74BE">
            <w:pPr>
              <w:spacing w:after="0" w:line="240" w:lineRule="auto"/>
              <w:rPr>
                <w:rFonts w:ascii="Century Gothic" w:eastAsia="Times New Roman" w:hAnsi="Century Gothic" w:cs="Arial"/>
                <w:b/>
                <w:bCs/>
                <w:u w:val="single"/>
              </w:rPr>
            </w:pPr>
          </w:p>
          <w:p w14:paraId="24C4BA96" w14:textId="77777777" w:rsidR="006F74BE" w:rsidRPr="00D61E32" w:rsidRDefault="006F74BE" w:rsidP="006F74BE">
            <w:pPr>
              <w:spacing w:after="0" w:line="240" w:lineRule="auto"/>
              <w:rPr>
                <w:rFonts w:ascii="Century Gothic" w:eastAsia="Times New Roman" w:hAnsi="Century Gothic" w:cs="Arial"/>
                <w:b/>
                <w:bCs/>
                <w:u w:val="single"/>
              </w:rPr>
            </w:pPr>
          </w:p>
          <w:p w14:paraId="2A36D540" w14:textId="77777777" w:rsidR="006F74BE" w:rsidRPr="00D61E32" w:rsidRDefault="006F74BE" w:rsidP="006F74BE">
            <w:pPr>
              <w:spacing w:after="0" w:line="240" w:lineRule="auto"/>
              <w:rPr>
                <w:rFonts w:ascii="Century Gothic" w:eastAsia="Times New Roman" w:hAnsi="Century Gothic" w:cs="Arial"/>
                <w:b/>
                <w:bCs/>
                <w:u w:val="single"/>
              </w:rPr>
            </w:pPr>
          </w:p>
          <w:p w14:paraId="149FBA0A" w14:textId="77777777" w:rsidR="006F74BE" w:rsidRPr="00D61E32" w:rsidRDefault="006F74BE" w:rsidP="006F74BE">
            <w:pPr>
              <w:spacing w:after="0" w:line="240" w:lineRule="auto"/>
              <w:rPr>
                <w:rFonts w:ascii="Century Gothic" w:eastAsia="Times New Roman" w:hAnsi="Century Gothic" w:cs="Arial"/>
                <w:b/>
                <w:bCs/>
                <w:u w:val="single"/>
              </w:rPr>
            </w:pPr>
          </w:p>
          <w:p w14:paraId="4EB0D78A" w14:textId="77777777" w:rsidR="006F74BE" w:rsidRPr="00D61E32" w:rsidRDefault="006F74BE" w:rsidP="006F74BE">
            <w:pPr>
              <w:spacing w:after="0" w:line="240" w:lineRule="auto"/>
              <w:rPr>
                <w:rFonts w:ascii="Century Gothic" w:eastAsia="Times New Roman" w:hAnsi="Century Gothic" w:cs="Arial"/>
                <w:b/>
                <w:bCs/>
                <w:u w:val="single"/>
              </w:rPr>
            </w:pPr>
          </w:p>
          <w:p w14:paraId="7149B507" w14:textId="77777777" w:rsidR="006F74BE" w:rsidRPr="00D61E32" w:rsidRDefault="006F74BE" w:rsidP="006F74BE">
            <w:pPr>
              <w:spacing w:after="0" w:line="240" w:lineRule="auto"/>
              <w:rPr>
                <w:rFonts w:ascii="Century Gothic" w:eastAsia="Times New Roman" w:hAnsi="Century Gothic" w:cs="Arial"/>
                <w:b/>
                <w:bCs/>
                <w:u w:val="single"/>
              </w:rPr>
            </w:pPr>
          </w:p>
          <w:p w14:paraId="33B2BCF6" w14:textId="77777777" w:rsidR="006F74BE" w:rsidRPr="00D61E32" w:rsidRDefault="006F74BE" w:rsidP="006F74BE">
            <w:pPr>
              <w:spacing w:after="0" w:line="240" w:lineRule="auto"/>
              <w:rPr>
                <w:rFonts w:ascii="Century Gothic" w:eastAsia="Times New Roman" w:hAnsi="Century Gothic" w:cs="Arial"/>
                <w:b/>
                <w:bCs/>
                <w:u w:val="single"/>
              </w:rPr>
            </w:pPr>
          </w:p>
          <w:p w14:paraId="6B08071A" w14:textId="77777777" w:rsidR="006F74BE" w:rsidRPr="00D61E32" w:rsidRDefault="006F74BE" w:rsidP="006F74BE">
            <w:pPr>
              <w:spacing w:after="0" w:line="240" w:lineRule="auto"/>
              <w:rPr>
                <w:rFonts w:ascii="Century Gothic" w:eastAsia="Times New Roman" w:hAnsi="Century Gothic" w:cs="Arial"/>
                <w:b/>
                <w:bCs/>
                <w:u w:val="single"/>
              </w:rPr>
            </w:pPr>
          </w:p>
          <w:p w14:paraId="2E055334" w14:textId="77777777" w:rsidR="006F74BE" w:rsidRPr="00D61E32" w:rsidRDefault="006F74BE" w:rsidP="006F74BE">
            <w:pPr>
              <w:spacing w:after="0" w:line="240" w:lineRule="auto"/>
              <w:rPr>
                <w:rFonts w:ascii="Century Gothic" w:eastAsia="Times New Roman" w:hAnsi="Century Gothic" w:cs="Arial"/>
                <w:b/>
                <w:bCs/>
                <w:u w:val="single"/>
              </w:rPr>
            </w:pPr>
          </w:p>
          <w:p w14:paraId="1D55B4F4" w14:textId="77777777" w:rsidR="006F74BE" w:rsidRPr="00D61E32" w:rsidRDefault="006F74BE" w:rsidP="006F74BE">
            <w:pPr>
              <w:spacing w:after="0" w:line="240" w:lineRule="auto"/>
              <w:rPr>
                <w:rFonts w:ascii="Century Gothic" w:eastAsia="Times New Roman" w:hAnsi="Century Gothic" w:cs="Arial"/>
                <w:b/>
                <w:bCs/>
                <w:u w:val="single"/>
              </w:rPr>
            </w:pPr>
          </w:p>
          <w:p w14:paraId="7C0BBDEB" w14:textId="77777777" w:rsidR="006F74BE" w:rsidRPr="00D61E32" w:rsidRDefault="006F74BE" w:rsidP="006F74BE">
            <w:pPr>
              <w:spacing w:after="0" w:line="240" w:lineRule="auto"/>
              <w:rPr>
                <w:rFonts w:ascii="Century Gothic" w:eastAsia="Times New Roman" w:hAnsi="Century Gothic" w:cs="Arial"/>
                <w:b/>
                <w:bCs/>
                <w:u w:val="single"/>
              </w:rPr>
            </w:pPr>
          </w:p>
          <w:p w14:paraId="6981D2EF" w14:textId="77777777" w:rsidR="006F74BE" w:rsidRPr="00D61E32" w:rsidRDefault="006F74BE" w:rsidP="006F74BE">
            <w:pPr>
              <w:spacing w:after="0" w:line="240" w:lineRule="auto"/>
              <w:rPr>
                <w:rFonts w:ascii="Century Gothic" w:eastAsia="Times New Roman" w:hAnsi="Century Gothic" w:cs="Arial"/>
                <w:b/>
                <w:bCs/>
                <w:u w:val="single"/>
              </w:rPr>
            </w:pPr>
          </w:p>
          <w:p w14:paraId="348610B0" w14:textId="77777777" w:rsidR="006F74BE" w:rsidRPr="00D61E32" w:rsidRDefault="006F74BE" w:rsidP="006F74BE">
            <w:pPr>
              <w:spacing w:after="0" w:line="240" w:lineRule="auto"/>
              <w:rPr>
                <w:rFonts w:ascii="Century Gothic" w:eastAsia="Times New Roman" w:hAnsi="Century Gothic" w:cs="Arial"/>
                <w:b/>
                <w:bCs/>
                <w:u w:val="single"/>
              </w:rPr>
            </w:pPr>
          </w:p>
          <w:p w14:paraId="163AFF11" w14:textId="77777777" w:rsidR="006F74BE" w:rsidRPr="00D61E32" w:rsidRDefault="006F74BE" w:rsidP="006F74BE">
            <w:pPr>
              <w:spacing w:after="0" w:line="240" w:lineRule="auto"/>
              <w:rPr>
                <w:rFonts w:ascii="Century Gothic" w:eastAsia="Times New Roman" w:hAnsi="Century Gothic" w:cs="Arial"/>
                <w:b/>
                <w:bCs/>
                <w:u w:val="single"/>
              </w:rPr>
            </w:pPr>
          </w:p>
          <w:p w14:paraId="7057DB75" w14:textId="77777777" w:rsidR="006F74BE" w:rsidRPr="00D61E32" w:rsidRDefault="006F74BE" w:rsidP="006F74BE">
            <w:pPr>
              <w:spacing w:after="0" w:line="240" w:lineRule="auto"/>
              <w:rPr>
                <w:rFonts w:ascii="Century Gothic" w:eastAsia="Times New Roman" w:hAnsi="Century Gothic" w:cs="Arial"/>
                <w:b/>
                <w:bCs/>
                <w:u w:val="single"/>
              </w:rPr>
            </w:pPr>
          </w:p>
          <w:p w14:paraId="758AFEC1" w14:textId="77777777" w:rsidR="006F74BE" w:rsidRPr="00D61E32" w:rsidRDefault="006F74BE" w:rsidP="006F74BE">
            <w:pPr>
              <w:spacing w:after="0" w:line="240" w:lineRule="auto"/>
              <w:rPr>
                <w:rFonts w:ascii="Century Gothic" w:eastAsia="Times New Roman" w:hAnsi="Century Gothic" w:cs="Arial"/>
                <w:b/>
                <w:bCs/>
                <w:u w:val="single"/>
              </w:rPr>
            </w:pPr>
          </w:p>
          <w:p w14:paraId="705C17A3" w14:textId="77777777" w:rsidR="006F74BE" w:rsidRPr="00D61E32" w:rsidRDefault="006F74BE" w:rsidP="006F74BE">
            <w:pPr>
              <w:spacing w:after="0" w:line="240" w:lineRule="auto"/>
              <w:rPr>
                <w:rFonts w:ascii="Century Gothic" w:eastAsia="Times New Roman" w:hAnsi="Century Gothic" w:cs="Arial"/>
                <w:b/>
                <w:bCs/>
                <w:u w:val="single"/>
              </w:rPr>
            </w:pPr>
          </w:p>
          <w:p w14:paraId="1803CD37" w14:textId="77777777" w:rsidR="006F74BE" w:rsidRPr="00D61E32" w:rsidRDefault="006F74BE" w:rsidP="006F74BE">
            <w:pPr>
              <w:spacing w:after="0" w:line="240" w:lineRule="auto"/>
              <w:rPr>
                <w:rFonts w:ascii="Century Gothic" w:eastAsia="Times New Roman" w:hAnsi="Century Gothic" w:cs="Arial"/>
                <w:b/>
                <w:bCs/>
                <w:u w:val="single"/>
              </w:rPr>
            </w:pPr>
          </w:p>
          <w:p w14:paraId="64E47A57" w14:textId="77777777" w:rsidR="006F74BE" w:rsidRPr="00D61E32" w:rsidRDefault="006F74BE" w:rsidP="006F74BE">
            <w:pPr>
              <w:spacing w:after="0" w:line="240" w:lineRule="auto"/>
              <w:rPr>
                <w:rFonts w:ascii="Century Gothic" w:eastAsia="Times New Roman" w:hAnsi="Century Gothic" w:cs="Arial"/>
                <w:b/>
                <w:bCs/>
                <w:u w:val="single"/>
              </w:rPr>
            </w:pPr>
          </w:p>
          <w:p w14:paraId="2C3640C3" w14:textId="77777777" w:rsidR="006F74BE" w:rsidRPr="00D61E32" w:rsidRDefault="006F74BE" w:rsidP="006F74BE">
            <w:pPr>
              <w:spacing w:after="0" w:line="240" w:lineRule="auto"/>
              <w:rPr>
                <w:rFonts w:ascii="Century Gothic" w:eastAsia="Times New Roman" w:hAnsi="Century Gothic" w:cs="Arial"/>
                <w:b/>
                <w:bCs/>
                <w:u w:val="single"/>
              </w:rPr>
            </w:pPr>
          </w:p>
          <w:p w14:paraId="385F348F" w14:textId="77777777" w:rsidR="006F74BE" w:rsidRPr="00D61E32" w:rsidRDefault="006F74BE" w:rsidP="006F74BE">
            <w:pPr>
              <w:spacing w:after="0" w:line="240" w:lineRule="auto"/>
              <w:rPr>
                <w:rFonts w:ascii="Century Gothic" w:eastAsia="Times New Roman" w:hAnsi="Century Gothic" w:cs="Arial"/>
                <w:b/>
                <w:bCs/>
                <w:u w:val="single"/>
              </w:rPr>
            </w:pPr>
          </w:p>
        </w:tc>
      </w:tr>
      <w:tr w:rsidR="006F74BE" w:rsidRPr="00D61E32" w14:paraId="761FBD25" w14:textId="77777777" w:rsidTr="004138AC">
        <w:trPr>
          <w:trHeight w:val="872"/>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63F6A571" w14:textId="77777777" w:rsidR="006F74BE" w:rsidRPr="00D61E32" w:rsidRDefault="006F74BE" w:rsidP="006F74BE">
            <w:pPr>
              <w:spacing w:after="0" w:line="240" w:lineRule="auto"/>
              <w:rPr>
                <w:rFonts w:ascii="Century Gothic" w:eastAsia="Times New Roman" w:hAnsi="Century Gothic" w:cs="Arial"/>
                <w:bCs/>
              </w:rPr>
            </w:pPr>
            <w:bookmarkStart w:id="0" w:name="_Hlk124948857"/>
            <w:r w:rsidRPr="00D61E32">
              <w:rPr>
                <w:rFonts w:ascii="Century Gothic" w:eastAsia="Times New Roman" w:hAnsi="Century Gothic"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0835D77D" w14:textId="77777777" w:rsidR="006F74BE" w:rsidRPr="00D61E32" w:rsidRDefault="006F74BE" w:rsidP="006F74BE">
            <w:pPr>
              <w:numPr>
                <w:ilvl w:val="0"/>
                <w:numId w:val="20"/>
              </w:numPr>
              <w:spacing w:after="0" w:line="240" w:lineRule="auto"/>
              <w:contextualSpacing/>
              <w:rPr>
                <w:rFonts w:ascii="Century Gothic" w:eastAsia="Times New Roman" w:hAnsi="Century Gothic" w:cs="Arial"/>
                <w:bCs/>
                <w:i/>
              </w:rPr>
            </w:pPr>
            <w:r w:rsidRPr="00D61E32">
              <w:rPr>
                <w:rFonts w:ascii="Century Gothic" w:eastAsia="Times New Roman" w:hAnsi="Century Gothic" w:cs="Arial"/>
                <w:bCs/>
                <w:i/>
              </w:rPr>
              <w:t>The analyses, as documented, should explain whether there is any variation in the application of a guideline or standard used by the plan or issuer between MH/SUD and medical/surgical benefits and, if so, describe the process and factors used for establishing that variation.</w:t>
            </w:r>
          </w:p>
          <w:p w14:paraId="14989E6B" w14:textId="77777777" w:rsidR="006F74BE" w:rsidRPr="00D61E32" w:rsidRDefault="006F74BE" w:rsidP="006F74BE">
            <w:pPr>
              <w:numPr>
                <w:ilvl w:val="0"/>
                <w:numId w:val="20"/>
              </w:numPr>
              <w:spacing w:after="0" w:line="240" w:lineRule="auto"/>
              <w:contextualSpacing/>
              <w:rPr>
                <w:rFonts w:ascii="Century Gothic" w:eastAsia="Times New Roman" w:hAnsi="Century Gothic" w:cs="Arial"/>
                <w:bCs/>
                <w:i/>
              </w:rPr>
            </w:pPr>
            <w:r w:rsidRPr="00D61E32">
              <w:rPr>
                <w:rFonts w:ascii="Century Gothic" w:eastAsia="Times New Roman" w:hAnsi="Century Gothic" w:cs="Arial"/>
                <w:bCs/>
                <w:i/>
              </w:rPr>
              <w:t>If the application of the NQTL turns on specific decisions in administration of the benefits, the plan or issuer should identify the nature of the decisions, the decision maker(s), the timing of the decisions, and the qualifications of the decision maker(s).</w:t>
            </w:r>
          </w:p>
          <w:p w14:paraId="3E0237B4" w14:textId="77777777" w:rsidR="006F74BE" w:rsidRPr="00D61E32" w:rsidRDefault="006F74BE" w:rsidP="006F74BE">
            <w:pPr>
              <w:numPr>
                <w:ilvl w:val="0"/>
                <w:numId w:val="20"/>
              </w:numPr>
              <w:spacing w:after="0" w:line="240" w:lineRule="auto"/>
              <w:contextualSpacing/>
              <w:rPr>
                <w:rFonts w:ascii="Century Gothic" w:eastAsia="Times New Roman" w:hAnsi="Century Gothic" w:cs="Arial"/>
                <w:bCs/>
                <w:i/>
              </w:rPr>
            </w:pPr>
            <w:r w:rsidRPr="00D61E32">
              <w:rPr>
                <w:rFonts w:ascii="Century Gothic" w:eastAsia="Times New Roman" w:hAnsi="Century Gothic" w:cs="Arial"/>
                <w:bCs/>
                <w:i/>
              </w:rPr>
              <w:t xml:space="preserve">If the </w:t>
            </w:r>
            <w:proofErr w:type="gramStart"/>
            <w:r w:rsidRPr="00D61E32">
              <w:rPr>
                <w:rFonts w:ascii="Century Gothic" w:eastAsia="Times New Roman" w:hAnsi="Century Gothic" w:cs="Arial"/>
                <w:bCs/>
                <w:i/>
              </w:rPr>
              <w:t>plan’s</w:t>
            </w:r>
            <w:proofErr w:type="gramEnd"/>
            <w:r w:rsidRPr="00D61E32">
              <w:rPr>
                <w:rFonts w:ascii="Century Gothic" w:eastAsia="Times New Roman" w:hAnsi="Century Gothic" w:cs="Arial"/>
                <w:bCs/>
                <w:i/>
              </w:rPr>
              <w:t xml:space="preserve">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r w:rsidRPr="00D61E32">
              <w:rPr>
                <w:rFonts w:ascii="Century Gothic" w:eastAsia="Times New Roman" w:hAnsi="Century Gothic" w:cs="Arial"/>
                <w:bCs/>
                <w:i/>
                <w:vertAlign w:val="superscript"/>
              </w:rPr>
              <w:footnoteReference w:id="7"/>
            </w:r>
          </w:p>
        </w:tc>
      </w:tr>
      <w:tr w:rsidR="006F74BE" w:rsidRPr="00D61E32" w14:paraId="5BC639E3" w14:textId="77777777" w:rsidTr="00D61E32">
        <w:trPr>
          <w:trHeight w:val="1720"/>
        </w:trPr>
        <w:tc>
          <w:tcPr>
            <w:tcW w:w="2970" w:type="dxa"/>
            <w:tcBorders>
              <w:top w:val="single" w:sz="4" w:space="0" w:color="auto"/>
              <w:left w:val="single" w:sz="4" w:space="0" w:color="auto"/>
              <w:bottom w:val="single" w:sz="4" w:space="0" w:color="auto"/>
              <w:right w:val="single" w:sz="4" w:space="0" w:color="auto"/>
            </w:tcBorders>
          </w:tcPr>
          <w:p w14:paraId="3AA81C98"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
                <w:i/>
              </w:rPr>
              <w:t>Step 4(a): Identify and define the processes and strategies used to develop internal Medical Necessity guidelines or modifications to external guidelines that are created by the Plan</w:t>
            </w:r>
            <w:r w:rsidRPr="00D61E32">
              <w:rPr>
                <w:rFonts w:ascii="Century Gothic" w:eastAsia="Times New Roman" w:hAnsi="Century Gothic" w:cs="Arial"/>
              </w:rPr>
              <w:t>:</w:t>
            </w:r>
          </w:p>
          <w:p w14:paraId="4C99AC43"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 xml:space="preserve">Cigna </w:t>
            </w:r>
          </w:p>
          <w:p w14:paraId="3E726D84" w14:textId="77777777" w:rsidR="006F74BE" w:rsidRPr="00D61E32" w:rsidRDefault="006F74BE" w:rsidP="006F74BE">
            <w:pPr>
              <w:spacing w:after="0" w:line="240" w:lineRule="auto"/>
              <w:rPr>
                <w:rFonts w:ascii="Century Gothic" w:eastAsia="Times New Roman" w:hAnsi="Century Gothic" w:cs="Arial"/>
                <w:b/>
                <w:bCs/>
                <w:i/>
                <w:iCs/>
              </w:rPr>
            </w:pPr>
            <w:r w:rsidRPr="00D61E32">
              <w:rPr>
                <w:rFonts w:ascii="Century Gothic" w:eastAsia="Times New Roman" w:hAnsi="Century Gothic" w:cs="Arial"/>
                <w:b/>
                <w:bCs/>
                <w:i/>
                <w:iCs/>
              </w:rPr>
              <w:t xml:space="preserve">Development of Criteria – Review and IRR </w:t>
            </w:r>
          </w:p>
          <w:p w14:paraId="46E03F5D"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Clinical coverage policies may incorporate, without limitation and as applicable, criteria relating to U.S. Food and Drug Administration-approved labeling, the standard medical reference compendia and peer-reviewed, evidence-based scientific literature or guidelines.</w:t>
            </w:r>
          </w:p>
          <w:p w14:paraId="23EBA788"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While Cigna's Coverage Policies and vendor guidelines are reviewed at least once annually, re-review of Coverage Policies and/or topics for new Coverage Policies are identified through multiple channels including requests from the provider community, customers, frontline reviewers, </w:t>
            </w:r>
            <w:proofErr w:type="gramStart"/>
            <w:r w:rsidRPr="00D61E32">
              <w:rPr>
                <w:rFonts w:ascii="Century Gothic" w:eastAsia="Times New Roman" w:hAnsi="Century Gothic" w:cs="Arial"/>
              </w:rPr>
              <w:t>CPU</w:t>
            </w:r>
            <w:proofErr w:type="gramEnd"/>
            <w:r w:rsidRPr="00D61E32">
              <w:rPr>
                <w:rFonts w:ascii="Century Gothic" w:eastAsia="Times New Roman" w:hAnsi="Century Gothic" w:cs="Arial"/>
              </w:rPr>
              <w:t xml:space="preserve"> and the impetus of new, emerging and evolving technologies. </w:t>
            </w:r>
          </w:p>
          <w:p w14:paraId="28FD15EF"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Also, the company’s routine (occurring no less frequently than annually) Inter-Rater Reliability (IRR) process is used to evaluate consistency of clinical decision-making across reviewers and to identify any potential revisions to coverage policies that may be warranted. Of note, the company’s most recent MH/SUD IRR exercise did not reveal a need to revise its coverage policies governing reviews of MH/SUD benefits.</w:t>
            </w:r>
          </w:p>
          <w:p w14:paraId="103F4CF1" w14:textId="77777777" w:rsidR="006F74BE" w:rsidRPr="00D61E32" w:rsidRDefault="006F74BE" w:rsidP="006F74BE">
            <w:pPr>
              <w:spacing w:after="0" w:line="240" w:lineRule="auto"/>
              <w:rPr>
                <w:rFonts w:ascii="Century Gothic" w:eastAsia="Times New Roman" w:hAnsi="Century Gothic" w:cs="Arial"/>
              </w:rPr>
            </w:pPr>
          </w:p>
          <w:p w14:paraId="6777683B" w14:textId="77777777" w:rsidR="006F74BE" w:rsidRPr="00D61E32" w:rsidRDefault="006F74BE" w:rsidP="006F74BE">
            <w:pPr>
              <w:spacing w:after="0" w:line="240" w:lineRule="auto"/>
              <w:rPr>
                <w:rFonts w:ascii="Century Gothic" w:eastAsia="Times New Roman" w:hAnsi="Century Gothic" w:cs="Arial"/>
                <w:b/>
                <w:bCs/>
                <w:i/>
                <w:iCs/>
              </w:rPr>
            </w:pPr>
            <w:r w:rsidRPr="00D61E32">
              <w:rPr>
                <w:rFonts w:ascii="Century Gothic" w:eastAsia="Times New Roman" w:hAnsi="Century Gothic" w:cs="Arial"/>
                <w:b/>
                <w:bCs/>
                <w:i/>
                <w:iCs/>
              </w:rPr>
              <w:t xml:space="preserve">Medical Necessity Development Processes </w:t>
            </w:r>
          </w:p>
          <w:p w14:paraId="6AE67F7D"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In determining whether health care services, supplies, or medications are Medically Necessary, the HealthPlan Medical Director or Review Organization may rely on the clinical coverage policies maintained by the </w:t>
            </w:r>
            <w:proofErr w:type="gramStart"/>
            <w:r w:rsidRPr="00D61E32">
              <w:rPr>
                <w:rFonts w:ascii="Century Gothic" w:eastAsia="Times New Roman" w:hAnsi="Century Gothic" w:cs="Arial"/>
              </w:rPr>
              <w:t>Health</w:t>
            </w:r>
            <w:proofErr w:type="gramEnd"/>
            <w:r w:rsidRPr="00D61E32">
              <w:rPr>
                <w:rFonts w:ascii="Century Gothic" w:eastAsia="Times New Roman" w:hAnsi="Century Gothic" w:cs="Arial"/>
              </w:rPr>
              <w:t xml:space="preserve"> plan or the Review Organization. Clinical coverage policies may incorporate, without limitation and as applicable, criteria relating to U.S. Food and Drug Administration-approved labeling, the standard medical reference compendia and peer-reviewed, evidence-based scientific literature or guidelines.</w:t>
            </w:r>
          </w:p>
          <w:p w14:paraId="27B5D95F" w14:textId="77777777" w:rsidR="006F74BE" w:rsidRPr="00D61E32" w:rsidRDefault="006F74BE" w:rsidP="006F74BE">
            <w:pPr>
              <w:spacing w:after="0" w:line="240" w:lineRule="auto"/>
              <w:rPr>
                <w:rFonts w:ascii="Century Gothic" w:eastAsia="Times New Roman" w:hAnsi="Century Gothic" w:cs="Arial"/>
                <w:b/>
                <w:bCs/>
                <w:u w:val="single"/>
              </w:rPr>
            </w:pPr>
          </w:p>
          <w:p w14:paraId="0660C7D7"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Cigna's Medical Technology Assessment Committee (“MTAC”) reviews clinical research and guidelines for new clinical procedures and technologies to determine whether these services have demonstrated clinical efficacy or are still deemed experimental/investigational. Cigna reviews medical and behavioral health national clinical practice guidelines on an annual and bi-annual basis to inform medical necessity criteria and the clinical decision process.  </w:t>
            </w:r>
          </w:p>
          <w:p w14:paraId="1174B85E"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MTAC is composed of physicians and nurses and includes specialists from both medical and behavioral health disciplines. Internal subject matter experts include, but are not limited to orthopedists, neurologists, neurosurgeons, OBGYNs, oncologists, primary care physicians, </w:t>
            </w:r>
            <w:proofErr w:type="gramStart"/>
            <w:r w:rsidRPr="00D61E32">
              <w:rPr>
                <w:rFonts w:ascii="Century Gothic" w:eastAsia="Times New Roman" w:hAnsi="Century Gothic" w:cs="Arial"/>
              </w:rPr>
              <w:t>internist</w:t>
            </w:r>
            <w:proofErr w:type="gramEnd"/>
            <w:r w:rsidRPr="00D61E32">
              <w:rPr>
                <w:rFonts w:ascii="Century Gothic" w:eastAsia="Times New Roman" w:hAnsi="Century Gothic" w:cs="Arial"/>
              </w:rPr>
              <w:t xml:space="preserve">, surgeons, urologists, pulmonologists cardiologists, </w:t>
            </w:r>
            <w:proofErr w:type="gramStart"/>
            <w:r w:rsidRPr="00D61E32">
              <w:rPr>
                <w:rFonts w:ascii="Century Gothic" w:eastAsia="Times New Roman" w:hAnsi="Century Gothic" w:cs="Arial"/>
              </w:rPr>
              <w:t>psychologists</w:t>
            </w:r>
            <w:proofErr w:type="gramEnd"/>
            <w:r w:rsidRPr="00D61E32">
              <w:rPr>
                <w:rFonts w:ascii="Century Gothic" w:eastAsia="Times New Roman" w:hAnsi="Century Gothic" w:cs="Arial"/>
              </w:rPr>
              <w:t xml:space="preserve"> and psychiatrists.  </w:t>
            </w:r>
          </w:p>
          <w:p w14:paraId="1696E446"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The Cigna-employed Medical Directors responsible for the development and/or review of medical necessity criteria of M/S and MH/SUD services </w:t>
            </w:r>
            <w:proofErr w:type="gramStart"/>
            <w:r w:rsidRPr="00D61E32">
              <w:rPr>
                <w:rFonts w:ascii="Century Gothic" w:eastAsia="Times New Roman" w:hAnsi="Century Gothic" w:cs="Arial"/>
              </w:rPr>
              <w:t>include:</w:t>
            </w:r>
            <w:proofErr w:type="gramEnd"/>
            <w:r w:rsidRPr="00D61E32">
              <w:rPr>
                <w:rFonts w:ascii="Century Gothic" w:eastAsia="Times New Roman" w:hAnsi="Century Gothic" w:cs="Arial"/>
              </w:rPr>
              <w:t xml:space="preserve">  Coverage Policy Author: The medical professionals who review and draft medical necessity coverage policies, in consultation with Coverage Policy SMEs, as part of the annual clinical review. These recommendations are offered to MTAC for discussion and ultimately require a vote of the majority to be accepted to go </w:t>
            </w:r>
            <w:proofErr w:type="gramStart"/>
            <w:r w:rsidRPr="00D61E32">
              <w:rPr>
                <w:rFonts w:ascii="Century Gothic" w:eastAsia="Times New Roman" w:hAnsi="Century Gothic" w:cs="Arial"/>
              </w:rPr>
              <w:t>in to</w:t>
            </w:r>
            <w:proofErr w:type="gramEnd"/>
            <w:r w:rsidRPr="00D61E32">
              <w:rPr>
                <w:rFonts w:ascii="Century Gothic" w:eastAsia="Times New Roman" w:hAnsi="Century Gothic" w:cs="Arial"/>
              </w:rPr>
              <w:t xml:space="preserve"> </w:t>
            </w:r>
            <w:proofErr w:type="gramStart"/>
            <w:r w:rsidRPr="00D61E32">
              <w:rPr>
                <w:rFonts w:ascii="Century Gothic" w:eastAsia="Times New Roman" w:hAnsi="Century Gothic" w:cs="Arial"/>
              </w:rPr>
              <w:t>effect</w:t>
            </w:r>
            <w:proofErr w:type="gramEnd"/>
            <w:r w:rsidRPr="00D61E32">
              <w:rPr>
                <w:rFonts w:ascii="Century Gothic" w:eastAsia="Times New Roman" w:hAnsi="Century Gothic" w:cs="Arial"/>
              </w:rPr>
              <w:t>. The Committee may send it back for further review, reject recommendations, or propose an alternative, or any combination of those outcomes. The committee also discusses relevant health equity concerns.  Coverage Policy SME: These are clinical subject matter experts – representing a range of clinical specialties, including, as relevant, MH/SUD experts (see the “Behavioral Health” clinicians listed in the “Coverage Policy SME” tab – consulted when drafting or reviewing coverage policies).</w:t>
            </w:r>
          </w:p>
          <w:p w14:paraId="23D95AD3"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The MTAC’s evidence-based medicine approach ranks the categories of evidence and assigns greater weight to categories with higher levels of scientific evidence as set forth in Cigna’s “Levels of Scientific Evidence Table” as stated in Step 3 above. </w:t>
            </w:r>
          </w:p>
          <w:p w14:paraId="1C941647" w14:textId="77777777" w:rsidR="006F74BE" w:rsidRPr="00D61E32" w:rsidRDefault="006F74BE" w:rsidP="006F74BE">
            <w:pPr>
              <w:spacing w:after="0" w:line="240" w:lineRule="auto"/>
              <w:rPr>
                <w:rFonts w:ascii="Century Gothic" w:eastAsia="Times New Roman" w:hAnsi="Century Gothic" w:cs="Arial"/>
                <w:b/>
                <w:i/>
              </w:rPr>
            </w:pPr>
            <w:r w:rsidRPr="00D61E32">
              <w:rPr>
                <w:rFonts w:ascii="Century Gothic" w:eastAsia="Times New Roman" w:hAnsi="Century Gothic" w:cs="Arial"/>
              </w:rPr>
              <w:t xml:space="preserve">The MTAC establishes and maintains medical necessity criteria in the form of published Coverage Policies pertaining to the various M/S and MH/SUD health services, therapies, procedures, devices, </w:t>
            </w:r>
            <w:proofErr w:type="gramStart"/>
            <w:r w:rsidRPr="00D61E32">
              <w:rPr>
                <w:rFonts w:ascii="Century Gothic" w:eastAsia="Times New Roman" w:hAnsi="Century Gothic" w:cs="Arial"/>
              </w:rPr>
              <w:t>technologies</w:t>
            </w:r>
            <w:proofErr w:type="gramEnd"/>
            <w:r w:rsidRPr="00D61E32">
              <w:rPr>
                <w:rFonts w:ascii="Century Gothic" w:eastAsia="Times New Roman" w:hAnsi="Century Gothic" w:cs="Arial"/>
              </w:rPr>
              <w:t xml:space="preserve"> and pharmaceuticals to be used for utilization management purposes. </w:t>
            </w:r>
          </w:p>
          <w:p w14:paraId="1C93D4FA" w14:textId="77777777" w:rsidR="006F74BE" w:rsidRPr="00D61E32" w:rsidRDefault="006F74BE" w:rsidP="006F74BE">
            <w:pPr>
              <w:spacing w:after="0" w:line="240" w:lineRule="auto"/>
              <w:rPr>
                <w:rFonts w:ascii="Century Gothic" w:eastAsia="Times New Roman" w:hAnsi="Century Gothic" w:cs="Arial"/>
                <w:b/>
                <w:bCs/>
                <w:i/>
                <w:iCs/>
              </w:rPr>
            </w:pPr>
            <w:r w:rsidRPr="00D61E32">
              <w:rPr>
                <w:rFonts w:ascii="Century Gothic" w:eastAsia="Times New Roman" w:hAnsi="Century Gothic" w:cs="Arial"/>
                <w:b/>
                <w:bCs/>
                <w:i/>
                <w:iCs/>
              </w:rPr>
              <w:t>Medical Necessity Appeals</w:t>
            </w:r>
          </w:p>
          <w:p w14:paraId="6E5E3496"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Cs/>
                <w:u w:val="single"/>
              </w:rPr>
              <w:t>1. Internal Appeals:</w:t>
            </w:r>
            <w:r w:rsidRPr="00D61E32">
              <w:rPr>
                <w:rFonts w:ascii="Century Gothic" w:eastAsia="Times New Roman" w:hAnsi="Century Gothic" w:cs="Arial"/>
                <w:bCs/>
              </w:rPr>
              <w:t xml:space="preserve"> </w:t>
            </w:r>
            <w:r w:rsidRPr="00D61E32">
              <w:rPr>
                <w:rFonts w:ascii="Century Gothic" w:eastAsia="Times New Roman" w:hAnsi="Century Gothic" w:cs="Arial"/>
              </w:rPr>
              <w:t xml:space="preserve">Cigna follows the same </w:t>
            </w:r>
            <w:proofErr w:type="gramStart"/>
            <w:r w:rsidRPr="00D61E32">
              <w:rPr>
                <w:rFonts w:ascii="Century Gothic" w:eastAsia="Times New Roman" w:hAnsi="Century Gothic" w:cs="Arial"/>
              </w:rPr>
              <w:t>a single</w:t>
            </w:r>
            <w:proofErr w:type="gramEnd"/>
            <w:r w:rsidRPr="00D61E32">
              <w:rPr>
                <w:rFonts w:ascii="Century Gothic" w:eastAsia="Times New Roman" w:hAnsi="Century Gothic" w:cs="Arial"/>
              </w:rPr>
              <w:t xml:space="preserve">-level internal appeal process for resolving disputes regarding pre/post-service benefit coverage and medical necessity denials of requested benefits for both M/S and MH/SUD. For medical necessity reviews a second health care professional, who was not involved in any previous decision and is not a subordinate of the individual in the previous decision, performs a single level appeal, whether expedited or standard. </w:t>
            </w:r>
          </w:p>
          <w:p w14:paraId="3BC3C183"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Expedited appeals are completed within 72 hours. Standard level 1 and level 2 pre-service medical necessity appeals are completed within 15 calendar days and standard post-service level 1 and level 2 medical necessity appeals are completed within 30 calendar </w:t>
            </w:r>
            <w:proofErr w:type="gramStart"/>
            <w:r w:rsidRPr="00D61E32">
              <w:rPr>
                <w:rFonts w:ascii="Century Gothic" w:eastAsia="Times New Roman" w:hAnsi="Century Gothic" w:cs="Arial"/>
              </w:rPr>
              <w:t>days,</w:t>
            </w:r>
            <w:proofErr w:type="gramEnd"/>
            <w:r w:rsidRPr="00D61E32">
              <w:rPr>
                <w:rFonts w:ascii="Century Gothic" w:eastAsia="Times New Roman" w:hAnsi="Century Gothic" w:cs="Arial"/>
              </w:rPr>
              <w:t xml:space="preserve"> post-service administrative appeals are completed within 30 calendar days. The assigned appeal processor notes the adverse determination as a denial in our system and communicates the determination by phone to the requesting party if the appeal was handled as expedited. At each step in the process, Cigna provides written notification of the outcome and resolution, including the clinical rationale for the determination to the member and the treating provider or facility.</w:t>
            </w:r>
          </w:p>
          <w:p w14:paraId="38AC2D86"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Cs/>
                <w:u w:val="single"/>
              </w:rPr>
              <w:t>2. External Appeals:</w:t>
            </w:r>
            <w:r w:rsidRPr="00D61E32">
              <w:rPr>
                <w:rFonts w:ascii="Century Gothic" w:eastAsia="Times New Roman" w:hAnsi="Century Gothic" w:cs="Arial"/>
                <w:b/>
              </w:rPr>
              <w:t xml:space="preserve"> </w:t>
            </w:r>
            <w:r w:rsidRPr="00D61E32">
              <w:rPr>
                <w:rFonts w:ascii="Century Gothic" w:eastAsia="Times New Roman" w:hAnsi="Century Gothic" w:cs="Arial"/>
              </w:rPr>
              <w:t>Cigna informs customers of their right to request an external appeal to an IRO, at no cost to the Customer, in the final internal appeal denial letter for both M/S and MH/SUD external appeals. The communication provides the Customer with all information regarding the right of appeal, applicable time limitations and specific instructions on the initiation of an appeal by the Customer or the Customer’s designate.  The National Appeals Organization will facilitate the appeal through the provision of program information and IRO program description.</w:t>
            </w:r>
          </w:p>
          <w:p w14:paraId="7BE4B0FE" w14:textId="1B2DAB48"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All records and materials relevant to the adverse determination and included in the previous appeal files are presented for review to an Independent Review Organization (IRO). New information and documentation submitted with the external review request is forwarded to the IRO to consider. The decision of the IRO is final and is binding on us and the plan. Relevant portions of the Customer’s contract (e.g., Certificate of Coverage, Summary Plan Description) are included in the materials for external review.  The IRO will render a decision without deference to the previous decisions. Standard external appeals are completed within 45 days and expedited external appeals are completed within 72 hours.</w:t>
            </w:r>
          </w:p>
        </w:tc>
        <w:tc>
          <w:tcPr>
            <w:tcW w:w="6475" w:type="dxa"/>
            <w:tcBorders>
              <w:top w:val="single" w:sz="4" w:space="0" w:color="auto"/>
              <w:left w:val="single" w:sz="4" w:space="0" w:color="auto"/>
              <w:bottom w:val="single" w:sz="4" w:space="0" w:color="auto"/>
              <w:right w:val="single" w:sz="4" w:space="0" w:color="auto"/>
            </w:tcBorders>
          </w:tcPr>
          <w:p w14:paraId="0F66E98D"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
                <w:i/>
              </w:rPr>
              <w:t>Step 4(a): Identify and define the processes and strategies used to develop internal Medical Necessity guidelines or modifications to external guidelines that are created by the Plan</w:t>
            </w:r>
            <w:r w:rsidRPr="00D61E32">
              <w:rPr>
                <w:rFonts w:ascii="Century Gothic" w:eastAsia="Times New Roman" w:hAnsi="Century Gothic" w:cs="Arial"/>
              </w:rPr>
              <w:t>:</w:t>
            </w:r>
          </w:p>
          <w:p w14:paraId="65EC4BFD"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 xml:space="preserve">Cigna </w:t>
            </w:r>
          </w:p>
          <w:p w14:paraId="352C19D4"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Same as M/S – except as follows: </w:t>
            </w:r>
          </w:p>
          <w:p w14:paraId="0D61DBF4" w14:textId="77777777" w:rsidR="006F74BE" w:rsidRPr="00D61E32" w:rsidRDefault="006F74BE" w:rsidP="006F74BE">
            <w:pPr>
              <w:spacing w:after="0" w:line="240" w:lineRule="auto"/>
              <w:rPr>
                <w:rFonts w:ascii="Century Gothic" w:eastAsia="Times New Roman" w:hAnsi="Century Gothic" w:cs="Arial"/>
                <w:b/>
                <w:bCs/>
                <w:i/>
                <w:iCs/>
              </w:rPr>
            </w:pPr>
            <w:r w:rsidRPr="00D61E32">
              <w:rPr>
                <w:rFonts w:ascii="Century Gothic" w:eastAsia="Times New Roman" w:hAnsi="Century Gothic" w:cs="Arial"/>
                <w:b/>
                <w:bCs/>
                <w:i/>
                <w:iCs/>
              </w:rPr>
              <w:t xml:space="preserve">Peer to Peer Variation Analysis </w:t>
            </w:r>
          </w:p>
          <w:p w14:paraId="7E3FC7E0"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With respect to MH/SUD benefits, and in contrast to the process for performing M/S benefit reviews, Cigna ensures that any potential denial of MH/SUD benefits is preceded by a proactive offer to the provider of a peer-to-peer review for certain services including Inpatient and Outpatient All Other benefit classifications. The objectives of proactively seeking a peer-to-peer review is to minimize the risk of issuing a denial where, in fact, the enrollee’s clinical situation warrants an approval for medically necessary care yet the provider’s request may have incompletely or imprecisely stated the case for medical necessity, or, if a denial is nonetheless issued, mitigating disruption if the loss of coverage results in the enrollee moving to a different treatment type or level of care. This process is beneficial for the enrollee and results in greater approvals and fewer appeals of medical necessity denials. </w:t>
            </w:r>
          </w:p>
          <w:p w14:paraId="6FE3CAF7" w14:textId="77777777" w:rsidR="006F74BE" w:rsidRPr="00D61E32" w:rsidRDefault="006F74BE" w:rsidP="006F74BE">
            <w:pPr>
              <w:spacing w:after="0" w:line="240" w:lineRule="auto"/>
              <w:rPr>
                <w:rFonts w:ascii="Century Gothic" w:eastAsia="Times New Roman" w:hAnsi="Century Gothic" w:cs="Arial"/>
              </w:rPr>
            </w:pPr>
          </w:p>
          <w:p w14:paraId="10EE69D5"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Cigna’s medical necessity review of MH/SUD services is guided by the ASAM Criteria, MCG and Cigna’s Clinical Coverage policies and plan documents approved for use in care management determinations. Cigna’s Peer-to-Peer review program is triggered when a care manager receives clinical information that does not appear to meet the ASAM Criteria, MCG and Cigna’s Clinical Coverage policies and plan documents for initial or prior authorization for level of care requested. In this instance, care managers may offer a lower level of care to ensure there is no delay or impediment to care where the medical necessity criteria </w:t>
            </w:r>
            <w:proofErr w:type="gramStart"/>
            <w:r w:rsidRPr="00D61E32">
              <w:rPr>
                <w:rFonts w:ascii="Century Gothic" w:eastAsia="Times New Roman" w:hAnsi="Century Gothic" w:cs="Arial"/>
              </w:rPr>
              <w:t>is</w:t>
            </w:r>
            <w:proofErr w:type="gramEnd"/>
            <w:r w:rsidRPr="00D61E32">
              <w:rPr>
                <w:rFonts w:ascii="Century Gothic" w:eastAsia="Times New Roman" w:hAnsi="Century Gothic" w:cs="Arial"/>
              </w:rPr>
              <w:t xml:space="preserve"> met. If that level of care is not accepted by the requesting provider (treating practitioner), the case is referred to Peer-to-peer review with a behavioral health physician reviewer.</w:t>
            </w:r>
          </w:p>
          <w:p w14:paraId="255ECCD9" w14:textId="77777777" w:rsidR="006F74BE" w:rsidRPr="00D61E32" w:rsidRDefault="006F74BE" w:rsidP="006F74BE">
            <w:pPr>
              <w:spacing w:after="0" w:line="240" w:lineRule="auto"/>
              <w:rPr>
                <w:rFonts w:ascii="Century Gothic" w:eastAsia="Times New Roman" w:hAnsi="Century Gothic" w:cs="Arial"/>
              </w:rPr>
            </w:pPr>
          </w:p>
          <w:p w14:paraId="40E56AB6"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The Peer-to-Peer review is available for any coverage request for which Cigna anticipates issuing a denial Cigna incorporates into its MH/SUD utilization review process a requirement that – prior to issuing a denial – a Cigna clinician proactively solicit a peer-to-peer review with the rendering provider.  After completing the peer-to-peer review with the rendering provider, the Cigna Medical Director </w:t>
            </w:r>
            <w:proofErr w:type="gramStart"/>
            <w:r w:rsidRPr="00D61E32">
              <w:rPr>
                <w:rFonts w:ascii="Century Gothic" w:eastAsia="Times New Roman" w:hAnsi="Century Gothic" w:cs="Arial"/>
              </w:rPr>
              <w:t>makes a decision</w:t>
            </w:r>
            <w:proofErr w:type="gramEnd"/>
            <w:r w:rsidRPr="00D61E32">
              <w:rPr>
                <w:rFonts w:ascii="Century Gothic" w:eastAsia="Times New Roman" w:hAnsi="Century Gothic" w:cs="Arial"/>
              </w:rPr>
              <w:t xml:space="preserve"> to approve or deny the requested service, based on all of the clinical information provided. Peer-to-peer reviews that are declined by the requesting provider result in the Cigna Medical Director </w:t>
            </w:r>
            <w:proofErr w:type="gramStart"/>
            <w:r w:rsidRPr="00D61E32">
              <w:rPr>
                <w:rFonts w:ascii="Century Gothic" w:eastAsia="Times New Roman" w:hAnsi="Century Gothic" w:cs="Arial"/>
              </w:rPr>
              <w:t>making a decision</w:t>
            </w:r>
            <w:proofErr w:type="gramEnd"/>
            <w:r w:rsidRPr="00D61E32">
              <w:rPr>
                <w:rFonts w:ascii="Century Gothic" w:eastAsia="Times New Roman" w:hAnsi="Century Gothic" w:cs="Arial"/>
              </w:rPr>
              <w:t xml:space="preserve"> to approve or deny the requested service based on the clinical information that was submitted and obtained by the Cigna clinician. All reconsideration and appeal options are available if a case results in a denial, just as they are available for denials issues for an M/S request.  </w:t>
            </w:r>
          </w:p>
          <w:p w14:paraId="3C3BA5B4" w14:textId="77777777" w:rsidR="006F74BE" w:rsidRPr="00D61E32" w:rsidRDefault="006F74BE" w:rsidP="006F74BE">
            <w:pPr>
              <w:spacing w:after="0" w:line="240" w:lineRule="auto"/>
              <w:rPr>
                <w:rFonts w:ascii="Century Gothic" w:eastAsia="Times New Roman" w:hAnsi="Century Gothic" w:cs="Arial"/>
              </w:rPr>
            </w:pPr>
          </w:p>
          <w:p w14:paraId="5750BF35" w14:textId="77777777" w:rsidR="006F74BE" w:rsidRPr="00D61E32" w:rsidRDefault="006F74BE" w:rsidP="006F74BE">
            <w:pPr>
              <w:spacing w:after="0" w:line="240" w:lineRule="auto"/>
              <w:rPr>
                <w:rFonts w:ascii="Century Gothic" w:eastAsia="Times New Roman" w:hAnsi="Century Gothic" w:cs="Arial"/>
                <w:b/>
                <w:bCs/>
                <w:u w:val="single"/>
              </w:rPr>
            </w:pPr>
          </w:p>
          <w:p w14:paraId="4FC445C5" w14:textId="77777777" w:rsidR="006F74BE" w:rsidRPr="00D61E32" w:rsidRDefault="006F74BE" w:rsidP="006F74BE">
            <w:pPr>
              <w:spacing w:after="0" w:line="240" w:lineRule="auto"/>
              <w:rPr>
                <w:rFonts w:ascii="Century Gothic" w:eastAsia="Times New Roman" w:hAnsi="Century Gothic" w:cs="Arial"/>
                <w:b/>
                <w:bCs/>
                <w:u w:val="single"/>
              </w:rPr>
            </w:pPr>
          </w:p>
          <w:p w14:paraId="37B57786" w14:textId="77777777" w:rsidR="006F74BE" w:rsidRPr="00D61E32" w:rsidRDefault="006F74BE" w:rsidP="006F74BE">
            <w:pPr>
              <w:spacing w:after="0" w:line="240" w:lineRule="auto"/>
              <w:rPr>
                <w:rFonts w:ascii="Century Gothic" w:eastAsia="Times New Roman" w:hAnsi="Century Gothic" w:cs="Arial"/>
                <w:b/>
                <w:bCs/>
                <w:u w:val="single"/>
              </w:rPr>
            </w:pPr>
          </w:p>
          <w:p w14:paraId="47B72B2B" w14:textId="77777777" w:rsidR="006F74BE" w:rsidRPr="00D61E32" w:rsidRDefault="006F74BE" w:rsidP="006F74BE">
            <w:pPr>
              <w:spacing w:after="0" w:line="240" w:lineRule="auto"/>
              <w:rPr>
                <w:rFonts w:ascii="Century Gothic" w:eastAsia="Times New Roman" w:hAnsi="Century Gothic" w:cs="Arial"/>
                <w:b/>
                <w:bCs/>
                <w:u w:val="single"/>
              </w:rPr>
            </w:pPr>
          </w:p>
          <w:p w14:paraId="58FFE224" w14:textId="77777777" w:rsidR="006F74BE" w:rsidRPr="00D61E32" w:rsidRDefault="006F74BE" w:rsidP="006F74BE">
            <w:pPr>
              <w:spacing w:after="0" w:line="240" w:lineRule="auto"/>
              <w:rPr>
                <w:rFonts w:ascii="Century Gothic" w:eastAsia="Times New Roman" w:hAnsi="Century Gothic" w:cs="Arial"/>
                <w:b/>
                <w:bCs/>
                <w:u w:val="single"/>
              </w:rPr>
            </w:pPr>
          </w:p>
          <w:p w14:paraId="6B9370E4" w14:textId="77777777" w:rsidR="006F74BE" w:rsidRPr="00D61E32" w:rsidRDefault="006F74BE" w:rsidP="006F74BE">
            <w:pPr>
              <w:spacing w:after="0" w:line="240" w:lineRule="auto"/>
              <w:rPr>
                <w:rFonts w:ascii="Century Gothic" w:eastAsia="Times New Roman" w:hAnsi="Century Gothic" w:cs="Arial"/>
                <w:b/>
                <w:bCs/>
                <w:u w:val="single"/>
              </w:rPr>
            </w:pPr>
          </w:p>
          <w:p w14:paraId="125ED7A9" w14:textId="77777777" w:rsidR="006F74BE" w:rsidRPr="00D61E32" w:rsidRDefault="006F74BE" w:rsidP="006F74BE">
            <w:pPr>
              <w:spacing w:after="0" w:line="240" w:lineRule="auto"/>
              <w:rPr>
                <w:rFonts w:ascii="Century Gothic" w:eastAsia="Times New Roman" w:hAnsi="Century Gothic" w:cs="Arial"/>
                <w:b/>
                <w:bCs/>
                <w:u w:val="single"/>
              </w:rPr>
            </w:pPr>
          </w:p>
          <w:p w14:paraId="5B84398C" w14:textId="77777777" w:rsidR="006F74BE" w:rsidRPr="00D61E32" w:rsidRDefault="006F74BE" w:rsidP="006F74BE">
            <w:pPr>
              <w:spacing w:after="0" w:line="240" w:lineRule="auto"/>
              <w:rPr>
                <w:rFonts w:ascii="Century Gothic" w:eastAsia="Times New Roman" w:hAnsi="Century Gothic" w:cs="Arial"/>
                <w:b/>
                <w:bCs/>
                <w:u w:val="single"/>
              </w:rPr>
            </w:pPr>
          </w:p>
          <w:p w14:paraId="7AA090D0" w14:textId="77777777" w:rsidR="006F74BE" w:rsidRPr="00D61E32" w:rsidRDefault="006F74BE" w:rsidP="006F74BE">
            <w:pPr>
              <w:spacing w:after="0" w:line="240" w:lineRule="auto"/>
              <w:rPr>
                <w:rFonts w:ascii="Century Gothic" w:eastAsia="Times New Roman" w:hAnsi="Century Gothic" w:cs="Arial"/>
                <w:b/>
                <w:bCs/>
                <w:u w:val="single"/>
              </w:rPr>
            </w:pPr>
          </w:p>
          <w:p w14:paraId="7CE07D69" w14:textId="77777777" w:rsidR="006F74BE" w:rsidRPr="00D61E32" w:rsidRDefault="006F74BE" w:rsidP="006F74BE">
            <w:pPr>
              <w:spacing w:after="0" w:line="240" w:lineRule="auto"/>
              <w:rPr>
                <w:rFonts w:ascii="Century Gothic" w:eastAsia="Times New Roman" w:hAnsi="Century Gothic" w:cs="Arial"/>
                <w:b/>
                <w:bCs/>
                <w:u w:val="single"/>
              </w:rPr>
            </w:pPr>
          </w:p>
          <w:p w14:paraId="4B381D1B" w14:textId="77777777" w:rsidR="006F74BE" w:rsidRPr="00D61E32" w:rsidRDefault="006F74BE" w:rsidP="006F74BE">
            <w:pPr>
              <w:spacing w:after="0" w:line="240" w:lineRule="auto"/>
              <w:rPr>
                <w:rFonts w:ascii="Century Gothic" w:eastAsia="Times New Roman" w:hAnsi="Century Gothic" w:cs="Arial"/>
                <w:b/>
                <w:bCs/>
                <w:u w:val="single"/>
              </w:rPr>
            </w:pPr>
          </w:p>
          <w:p w14:paraId="42C1674E" w14:textId="77777777" w:rsidR="006F74BE" w:rsidRPr="00D61E32" w:rsidRDefault="006F74BE" w:rsidP="006F74BE">
            <w:pPr>
              <w:spacing w:after="0" w:line="240" w:lineRule="auto"/>
              <w:rPr>
                <w:rFonts w:ascii="Century Gothic" w:eastAsia="Times New Roman" w:hAnsi="Century Gothic" w:cs="Arial"/>
                <w:b/>
                <w:bCs/>
                <w:u w:val="single"/>
              </w:rPr>
            </w:pPr>
          </w:p>
          <w:p w14:paraId="10A4F4A7" w14:textId="77777777" w:rsidR="006F74BE" w:rsidRPr="00D61E32" w:rsidRDefault="006F74BE" w:rsidP="006F74BE">
            <w:pPr>
              <w:spacing w:after="0" w:line="240" w:lineRule="auto"/>
              <w:rPr>
                <w:rFonts w:ascii="Century Gothic" w:eastAsia="Times New Roman" w:hAnsi="Century Gothic" w:cs="Arial"/>
                <w:b/>
                <w:bCs/>
                <w:u w:val="single"/>
              </w:rPr>
            </w:pPr>
          </w:p>
          <w:p w14:paraId="234A71ED" w14:textId="77777777" w:rsidR="006F74BE" w:rsidRPr="00D61E32" w:rsidRDefault="006F74BE" w:rsidP="006F74BE">
            <w:pPr>
              <w:spacing w:after="0" w:line="240" w:lineRule="auto"/>
              <w:rPr>
                <w:rFonts w:ascii="Century Gothic" w:eastAsia="Times New Roman" w:hAnsi="Century Gothic" w:cs="Arial"/>
                <w:b/>
                <w:bCs/>
                <w:u w:val="single"/>
              </w:rPr>
            </w:pPr>
          </w:p>
          <w:p w14:paraId="7A0160F8" w14:textId="77777777" w:rsidR="006F74BE" w:rsidRPr="00D61E32" w:rsidRDefault="006F74BE" w:rsidP="006F74BE">
            <w:pPr>
              <w:spacing w:after="0" w:line="240" w:lineRule="auto"/>
              <w:rPr>
                <w:rFonts w:ascii="Century Gothic" w:eastAsia="Times New Roman" w:hAnsi="Century Gothic" w:cs="Arial"/>
                <w:b/>
                <w:bCs/>
                <w:u w:val="single"/>
              </w:rPr>
            </w:pPr>
          </w:p>
          <w:p w14:paraId="21F1FC10" w14:textId="77777777" w:rsidR="006F74BE" w:rsidRPr="00D61E32" w:rsidRDefault="006F74BE" w:rsidP="006F74BE">
            <w:pPr>
              <w:spacing w:after="0" w:line="240" w:lineRule="auto"/>
              <w:rPr>
                <w:rFonts w:ascii="Century Gothic" w:eastAsia="Times New Roman" w:hAnsi="Century Gothic" w:cs="Arial"/>
                <w:b/>
                <w:bCs/>
                <w:u w:val="single"/>
              </w:rPr>
            </w:pPr>
          </w:p>
          <w:p w14:paraId="5B5FAFED" w14:textId="77777777" w:rsidR="006F74BE" w:rsidRPr="00D61E32" w:rsidRDefault="006F74BE" w:rsidP="006F74BE">
            <w:pPr>
              <w:spacing w:after="0" w:line="240" w:lineRule="auto"/>
              <w:rPr>
                <w:rFonts w:ascii="Century Gothic" w:eastAsia="Times New Roman" w:hAnsi="Century Gothic" w:cs="Arial"/>
                <w:b/>
                <w:bCs/>
                <w:u w:val="single"/>
              </w:rPr>
            </w:pPr>
          </w:p>
          <w:p w14:paraId="00ED0732" w14:textId="77777777" w:rsidR="006F74BE" w:rsidRPr="00D61E32" w:rsidRDefault="006F74BE" w:rsidP="006F74BE">
            <w:pPr>
              <w:spacing w:after="0" w:line="240" w:lineRule="auto"/>
              <w:rPr>
                <w:rFonts w:ascii="Century Gothic" w:eastAsia="Times New Roman" w:hAnsi="Century Gothic" w:cs="Arial"/>
                <w:b/>
                <w:bCs/>
                <w:u w:val="single"/>
              </w:rPr>
            </w:pPr>
          </w:p>
          <w:p w14:paraId="2039B274" w14:textId="77777777" w:rsidR="006F74BE" w:rsidRPr="00D61E32" w:rsidRDefault="006F74BE" w:rsidP="006F74BE">
            <w:pPr>
              <w:spacing w:after="0" w:line="240" w:lineRule="auto"/>
              <w:rPr>
                <w:rFonts w:ascii="Century Gothic" w:eastAsia="Times New Roman" w:hAnsi="Century Gothic" w:cs="Arial"/>
                <w:b/>
                <w:bCs/>
                <w:u w:val="single"/>
              </w:rPr>
            </w:pPr>
          </w:p>
          <w:p w14:paraId="607FC2D6" w14:textId="77777777" w:rsidR="006F74BE" w:rsidRPr="00D61E32" w:rsidRDefault="006F74BE" w:rsidP="006F74BE">
            <w:pPr>
              <w:spacing w:after="0" w:line="240" w:lineRule="auto"/>
              <w:rPr>
                <w:rFonts w:ascii="Century Gothic" w:eastAsia="Times New Roman" w:hAnsi="Century Gothic" w:cs="Arial"/>
                <w:b/>
                <w:bCs/>
                <w:u w:val="single"/>
              </w:rPr>
            </w:pPr>
          </w:p>
          <w:p w14:paraId="20628803" w14:textId="77777777" w:rsidR="006F74BE" w:rsidRPr="00D61E32" w:rsidRDefault="006F74BE" w:rsidP="006F74BE">
            <w:pPr>
              <w:spacing w:after="0" w:line="240" w:lineRule="auto"/>
              <w:rPr>
                <w:rFonts w:ascii="Century Gothic" w:eastAsia="Times New Roman" w:hAnsi="Century Gothic" w:cs="Arial"/>
                <w:b/>
                <w:bCs/>
                <w:u w:val="single"/>
              </w:rPr>
            </w:pPr>
          </w:p>
          <w:p w14:paraId="7F08AB69" w14:textId="77777777" w:rsidR="006F74BE" w:rsidRPr="00D61E32" w:rsidRDefault="006F74BE" w:rsidP="006F74BE">
            <w:pPr>
              <w:spacing w:after="0" w:line="240" w:lineRule="auto"/>
              <w:rPr>
                <w:rFonts w:ascii="Century Gothic" w:eastAsia="Times New Roman" w:hAnsi="Century Gothic" w:cs="Arial"/>
                <w:b/>
                <w:bCs/>
                <w:u w:val="single"/>
              </w:rPr>
            </w:pPr>
          </w:p>
          <w:p w14:paraId="0AA4D090" w14:textId="77777777" w:rsidR="006F74BE" w:rsidRPr="00D61E32" w:rsidRDefault="006F74BE" w:rsidP="006F74BE">
            <w:pPr>
              <w:spacing w:after="0" w:line="240" w:lineRule="auto"/>
              <w:rPr>
                <w:rFonts w:ascii="Century Gothic" w:eastAsia="Times New Roman" w:hAnsi="Century Gothic" w:cs="Arial"/>
                <w:b/>
                <w:bCs/>
                <w:u w:val="single"/>
              </w:rPr>
            </w:pPr>
          </w:p>
          <w:p w14:paraId="6FE1C9B3" w14:textId="77777777" w:rsidR="006F74BE" w:rsidRPr="00D61E32" w:rsidRDefault="006F74BE" w:rsidP="006F74BE">
            <w:pPr>
              <w:spacing w:after="0" w:line="240" w:lineRule="auto"/>
              <w:rPr>
                <w:rFonts w:ascii="Century Gothic" w:eastAsia="Times New Roman" w:hAnsi="Century Gothic" w:cs="Arial"/>
                <w:b/>
                <w:bCs/>
                <w:u w:val="single"/>
              </w:rPr>
            </w:pPr>
          </w:p>
          <w:p w14:paraId="4403CA5E" w14:textId="77777777" w:rsidR="006F74BE" w:rsidRPr="00D61E32" w:rsidRDefault="006F74BE" w:rsidP="006F74BE">
            <w:pPr>
              <w:spacing w:after="0" w:line="240" w:lineRule="auto"/>
              <w:rPr>
                <w:rFonts w:ascii="Century Gothic" w:eastAsia="Times New Roman" w:hAnsi="Century Gothic" w:cs="Arial"/>
                <w:b/>
                <w:bCs/>
                <w:u w:val="single"/>
              </w:rPr>
            </w:pPr>
          </w:p>
          <w:p w14:paraId="6077592E" w14:textId="77777777" w:rsidR="006F74BE" w:rsidRPr="00D61E32" w:rsidRDefault="006F74BE" w:rsidP="006F74BE">
            <w:pPr>
              <w:spacing w:after="0" w:line="240" w:lineRule="auto"/>
              <w:rPr>
                <w:rFonts w:ascii="Century Gothic" w:eastAsia="Times New Roman" w:hAnsi="Century Gothic" w:cs="Arial"/>
                <w:b/>
                <w:bCs/>
                <w:u w:val="single"/>
              </w:rPr>
            </w:pPr>
          </w:p>
          <w:p w14:paraId="5DA51C2A" w14:textId="77777777" w:rsidR="006F74BE" w:rsidRPr="00D61E32" w:rsidRDefault="006F74BE" w:rsidP="006F74BE">
            <w:pPr>
              <w:spacing w:after="0" w:line="240" w:lineRule="auto"/>
              <w:rPr>
                <w:rFonts w:ascii="Century Gothic" w:eastAsia="Times New Roman" w:hAnsi="Century Gothic" w:cs="Arial"/>
                <w:b/>
                <w:bCs/>
                <w:u w:val="single"/>
              </w:rPr>
            </w:pPr>
          </w:p>
          <w:p w14:paraId="22366B06" w14:textId="77777777" w:rsidR="006F74BE" w:rsidRPr="00D61E32" w:rsidRDefault="006F74BE" w:rsidP="006F74BE">
            <w:pPr>
              <w:spacing w:after="0" w:line="240" w:lineRule="auto"/>
              <w:rPr>
                <w:rFonts w:ascii="Century Gothic" w:eastAsia="Times New Roman" w:hAnsi="Century Gothic" w:cs="Arial"/>
                <w:b/>
                <w:bCs/>
                <w:u w:val="single"/>
              </w:rPr>
            </w:pPr>
          </w:p>
          <w:p w14:paraId="1CB49102" w14:textId="77777777" w:rsidR="006F74BE" w:rsidRPr="00D61E32" w:rsidRDefault="006F74BE" w:rsidP="006F74BE">
            <w:pPr>
              <w:spacing w:after="0" w:line="240" w:lineRule="auto"/>
              <w:rPr>
                <w:rFonts w:ascii="Century Gothic" w:eastAsia="Times New Roman" w:hAnsi="Century Gothic" w:cs="Arial"/>
                <w:b/>
                <w:bCs/>
                <w:u w:val="single"/>
              </w:rPr>
            </w:pPr>
          </w:p>
          <w:p w14:paraId="562BCCAC" w14:textId="77777777" w:rsidR="006F74BE" w:rsidRPr="00D61E32" w:rsidRDefault="006F74BE" w:rsidP="006F74BE">
            <w:pPr>
              <w:spacing w:after="0" w:line="240" w:lineRule="auto"/>
              <w:rPr>
                <w:rFonts w:ascii="Century Gothic" w:eastAsia="Times New Roman" w:hAnsi="Century Gothic" w:cs="Arial"/>
                <w:b/>
                <w:bCs/>
                <w:u w:val="single"/>
              </w:rPr>
            </w:pPr>
          </w:p>
          <w:p w14:paraId="6957BF3E" w14:textId="77777777" w:rsidR="006F74BE" w:rsidRPr="00D61E32" w:rsidRDefault="006F74BE" w:rsidP="006F74BE">
            <w:pPr>
              <w:spacing w:after="0" w:line="240" w:lineRule="auto"/>
              <w:rPr>
                <w:rFonts w:ascii="Century Gothic" w:eastAsia="Times New Roman" w:hAnsi="Century Gothic" w:cs="Arial"/>
                <w:b/>
                <w:bCs/>
                <w:u w:val="single"/>
              </w:rPr>
            </w:pPr>
          </w:p>
          <w:p w14:paraId="6650A8C7" w14:textId="77777777" w:rsidR="006F74BE" w:rsidRPr="00D61E32" w:rsidRDefault="006F74BE" w:rsidP="006F74BE">
            <w:pPr>
              <w:spacing w:after="0" w:line="240" w:lineRule="auto"/>
              <w:rPr>
                <w:rFonts w:ascii="Century Gothic" w:eastAsia="Times New Roman" w:hAnsi="Century Gothic" w:cs="Arial"/>
                <w:b/>
                <w:bCs/>
                <w:u w:val="single"/>
              </w:rPr>
            </w:pPr>
          </w:p>
          <w:p w14:paraId="3F67D2C7" w14:textId="77777777" w:rsidR="006F74BE" w:rsidRPr="00D61E32" w:rsidRDefault="006F74BE" w:rsidP="006F74BE">
            <w:pPr>
              <w:spacing w:after="0" w:line="240" w:lineRule="auto"/>
              <w:rPr>
                <w:rFonts w:ascii="Century Gothic" w:eastAsia="Times New Roman" w:hAnsi="Century Gothic" w:cs="Arial"/>
                <w:b/>
                <w:bCs/>
                <w:u w:val="single"/>
              </w:rPr>
            </w:pPr>
          </w:p>
          <w:p w14:paraId="0D0DF922" w14:textId="77777777" w:rsidR="006F74BE" w:rsidRPr="00D61E32" w:rsidRDefault="006F74BE" w:rsidP="006F74BE">
            <w:pPr>
              <w:spacing w:after="0" w:line="240" w:lineRule="auto"/>
              <w:rPr>
                <w:rFonts w:ascii="Century Gothic" w:eastAsia="Times New Roman" w:hAnsi="Century Gothic" w:cs="Arial"/>
                <w:b/>
                <w:bCs/>
                <w:u w:val="single"/>
              </w:rPr>
            </w:pPr>
          </w:p>
          <w:p w14:paraId="6C1B42D9" w14:textId="77777777" w:rsidR="006F74BE" w:rsidRPr="00D61E32" w:rsidRDefault="006F74BE" w:rsidP="006F74BE">
            <w:pPr>
              <w:spacing w:after="0" w:line="240" w:lineRule="auto"/>
              <w:rPr>
                <w:rFonts w:ascii="Century Gothic" w:eastAsia="Times New Roman" w:hAnsi="Century Gothic" w:cs="Arial"/>
                <w:b/>
                <w:bCs/>
                <w:u w:val="single"/>
              </w:rPr>
            </w:pPr>
          </w:p>
          <w:p w14:paraId="6CE07331" w14:textId="77777777" w:rsidR="006F74BE" w:rsidRPr="00D61E32" w:rsidRDefault="006F74BE" w:rsidP="006F74BE">
            <w:pPr>
              <w:spacing w:after="0" w:line="240" w:lineRule="auto"/>
              <w:rPr>
                <w:rFonts w:ascii="Century Gothic" w:eastAsia="Times New Roman" w:hAnsi="Century Gothic" w:cs="Arial"/>
                <w:b/>
                <w:bCs/>
                <w:u w:val="single"/>
              </w:rPr>
            </w:pPr>
          </w:p>
          <w:p w14:paraId="79B02272" w14:textId="77777777" w:rsidR="006F74BE" w:rsidRPr="00D61E32" w:rsidRDefault="006F74BE" w:rsidP="006F74BE">
            <w:pPr>
              <w:spacing w:after="0" w:line="240" w:lineRule="auto"/>
              <w:rPr>
                <w:rFonts w:ascii="Century Gothic" w:eastAsia="Times New Roman" w:hAnsi="Century Gothic" w:cs="Arial"/>
                <w:b/>
                <w:bCs/>
                <w:u w:val="single"/>
              </w:rPr>
            </w:pPr>
          </w:p>
          <w:p w14:paraId="75267528" w14:textId="77777777" w:rsidR="006F74BE" w:rsidRPr="00D61E32" w:rsidRDefault="006F74BE" w:rsidP="006F74BE">
            <w:pPr>
              <w:spacing w:after="0" w:line="240" w:lineRule="auto"/>
              <w:rPr>
                <w:rFonts w:ascii="Century Gothic" w:eastAsia="Times New Roman" w:hAnsi="Century Gothic" w:cs="Arial"/>
                <w:b/>
                <w:bCs/>
                <w:u w:val="single"/>
              </w:rPr>
            </w:pPr>
          </w:p>
          <w:p w14:paraId="5F698893" w14:textId="77777777" w:rsidR="006F74BE" w:rsidRPr="00D61E32" w:rsidRDefault="006F74BE" w:rsidP="006F74BE">
            <w:pPr>
              <w:spacing w:after="0" w:line="240" w:lineRule="auto"/>
              <w:rPr>
                <w:rFonts w:ascii="Century Gothic" w:eastAsia="Times New Roman" w:hAnsi="Century Gothic" w:cs="Arial"/>
                <w:b/>
                <w:bCs/>
                <w:u w:val="single"/>
              </w:rPr>
            </w:pPr>
          </w:p>
          <w:p w14:paraId="6EA951C8" w14:textId="77777777" w:rsidR="006F74BE" w:rsidRPr="00D61E32" w:rsidRDefault="006F74BE" w:rsidP="006F74BE">
            <w:pPr>
              <w:spacing w:after="0" w:line="240" w:lineRule="auto"/>
              <w:rPr>
                <w:rFonts w:ascii="Century Gothic" w:eastAsia="Times New Roman" w:hAnsi="Century Gothic" w:cs="Arial"/>
                <w:b/>
                <w:bCs/>
                <w:u w:val="single"/>
              </w:rPr>
            </w:pPr>
          </w:p>
          <w:p w14:paraId="70B35273" w14:textId="77777777" w:rsidR="006F74BE" w:rsidRPr="00D61E32" w:rsidRDefault="006F74BE" w:rsidP="006F74BE">
            <w:pPr>
              <w:spacing w:after="0" w:line="240" w:lineRule="auto"/>
              <w:rPr>
                <w:rFonts w:ascii="Century Gothic" w:eastAsia="Times New Roman" w:hAnsi="Century Gothic" w:cs="Arial"/>
                <w:b/>
                <w:bCs/>
                <w:u w:val="single"/>
              </w:rPr>
            </w:pPr>
          </w:p>
          <w:p w14:paraId="2A6EFC17" w14:textId="77777777" w:rsidR="006F74BE" w:rsidRPr="00D61E32" w:rsidRDefault="006F74BE" w:rsidP="006F74BE">
            <w:pPr>
              <w:spacing w:after="0" w:line="240" w:lineRule="auto"/>
              <w:rPr>
                <w:rFonts w:ascii="Century Gothic" w:eastAsia="Times New Roman" w:hAnsi="Century Gothic" w:cs="Arial"/>
                <w:b/>
                <w:bCs/>
                <w:u w:val="single"/>
              </w:rPr>
            </w:pPr>
          </w:p>
          <w:p w14:paraId="7EC9D0FF" w14:textId="77777777" w:rsidR="006F74BE" w:rsidRPr="00D61E32" w:rsidRDefault="006F74BE" w:rsidP="006F74BE">
            <w:pPr>
              <w:spacing w:after="0" w:line="240" w:lineRule="auto"/>
              <w:rPr>
                <w:rFonts w:ascii="Century Gothic" w:eastAsia="Times New Roman" w:hAnsi="Century Gothic" w:cs="Arial"/>
                <w:b/>
                <w:bCs/>
                <w:u w:val="single"/>
              </w:rPr>
            </w:pPr>
          </w:p>
          <w:p w14:paraId="1F63D441" w14:textId="77777777" w:rsidR="006F74BE" w:rsidRPr="00D61E32" w:rsidRDefault="006F74BE" w:rsidP="006F74BE">
            <w:pPr>
              <w:spacing w:after="0" w:line="240" w:lineRule="auto"/>
              <w:rPr>
                <w:rFonts w:ascii="Century Gothic" w:eastAsia="Times New Roman" w:hAnsi="Century Gothic" w:cs="Arial"/>
                <w:b/>
                <w:bCs/>
                <w:u w:val="single"/>
              </w:rPr>
            </w:pPr>
          </w:p>
          <w:p w14:paraId="53D280C7" w14:textId="77777777" w:rsidR="006F74BE" w:rsidRPr="00D61E32" w:rsidRDefault="006F74BE" w:rsidP="006F74BE">
            <w:pPr>
              <w:spacing w:after="0" w:line="240" w:lineRule="auto"/>
              <w:rPr>
                <w:rFonts w:ascii="Century Gothic" w:eastAsia="Times New Roman" w:hAnsi="Century Gothic" w:cs="Arial"/>
                <w:b/>
                <w:bCs/>
                <w:u w:val="single"/>
              </w:rPr>
            </w:pPr>
          </w:p>
          <w:p w14:paraId="4DA330DA" w14:textId="77777777" w:rsidR="006F74BE" w:rsidRPr="00D61E32" w:rsidRDefault="006F74BE" w:rsidP="006F74BE">
            <w:pPr>
              <w:spacing w:after="0" w:line="240" w:lineRule="auto"/>
              <w:rPr>
                <w:rFonts w:ascii="Century Gothic" w:eastAsia="Times New Roman" w:hAnsi="Century Gothic" w:cs="Arial"/>
                <w:b/>
                <w:bCs/>
                <w:u w:val="single"/>
              </w:rPr>
            </w:pPr>
          </w:p>
          <w:p w14:paraId="0895FDE1" w14:textId="77777777" w:rsidR="006F74BE" w:rsidRPr="00D61E32" w:rsidRDefault="006F74BE" w:rsidP="006F74BE">
            <w:pPr>
              <w:spacing w:after="0" w:line="240" w:lineRule="auto"/>
              <w:rPr>
                <w:rFonts w:ascii="Century Gothic" w:eastAsia="Times New Roman" w:hAnsi="Century Gothic" w:cs="Arial"/>
                <w:b/>
                <w:bCs/>
                <w:u w:val="single"/>
              </w:rPr>
            </w:pPr>
          </w:p>
          <w:p w14:paraId="7D395CAD" w14:textId="77777777" w:rsidR="006F74BE" w:rsidRPr="00D61E32" w:rsidRDefault="006F74BE" w:rsidP="006F74BE">
            <w:pPr>
              <w:spacing w:after="0" w:line="240" w:lineRule="auto"/>
              <w:rPr>
                <w:rFonts w:ascii="Century Gothic" w:eastAsia="Times New Roman" w:hAnsi="Century Gothic" w:cs="Arial"/>
                <w:b/>
                <w:bCs/>
                <w:u w:val="single"/>
              </w:rPr>
            </w:pPr>
          </w:p>
          <w:p w14:paraId="1CA5650A" w14:textId="77777777" w:rsidR="006F74BE" w:rsidRPr="00D61E32" w:rsidRDefault="006F74BE" w:rsidP="006F74BE">
            <w:pPr>
              <w:spacing w:after="0" w:line="240" w:lineRule="auto"/>
              <w:rPr>
                <w:rFonts w:ascii="Century Gothic" w:eastAsia="Times New Roman" w:hAnsi="Century Gothic" w:cs="Arial"/>
                <w:b/>
                <w:bCs/>
                <w:u w:val="single"/>
              </w:rPr>
            </w:pPr>
          </w:p>
          <w:p w14:paraId="102204C8" w14:textId="77777777" w:rsidR="006F74BE" w:rsidRPr="00D61E32" w:rsidRDefault="006F74BE" w:rsidP="006F74BE">
            <w:pPr>
              <w:spacing w:after="0" w:line="240" w:lineRule="auto"/>
              <w:rPr>
                <w:rFonts w:ascii="Century Gothic" w:eastAsia="Times New Roman" w:hAnsi="Century Gothic" w:cs="Arial"/>
                <w:b/>
                <w:bCs/>
                <w:u w:val="single"/>
              </w:rPr>
            </w:pPr>
          </w:p>
          <w:p w14:paraId="041E1F76" w14:textId="77777777" w:rsidR="006F74BE" w:rsidRPr="00D61E32" w:rsidRDefault="006F74BE" w:rsidP="006F74BE">
            <w:pPr>
              <w:spacing w:after="0" w:line="240" w:lineRule="auto"/>
              <w:rPr>
                <w:rFonts w:ascii="Century Gothic" w:eastAsia="Times New Roman" w:hAnsi="Century Gothic" w:cs="Arial"/>
                <w:b/>
                <w:bCs/>
                <w:u w:val="single"/>
              </w:rPr>
            </w:pPr>
          </w:p>
          <w:p w14:paraId="12A9AB31" w14:textId="77777777" w:rsidR="006F74BE" w:rsidRPr="00D61E32" w:rsidRDefault="006F74BE" w:rsidP="006F74BE">
            <w:pPr>
              <w:spacing w:after="0" w:line="240" w:lineRule="auto"/>
              <w:rPr>
                <w:rFonts w:ascii="Century Gothic" w:eastAsia="Times New Roman" w:hAnsi="Century Gothic" w:cs="Arial"/>
                <w:b/>
                <w:bCs/>
                <w:u w:val="single"/>
              </w:rPr>
            </w:pPr>
          </w:p>
          <w:p w14:paraId="1219288E" w14:textId="77777777" w:rsidR="006F74BE" w:rsidRPr="00D61E32" w:rsidRDefault="006F74BE" w:rsidP="006F74BE">
            <w:pPr>
              <w:spacing w:after="0" w:line="240" w:lineRule="auto"/>
              <w:rPr>
                <w:rFonts w:ascii="Century Gothic" w:eastAsia="Times New Roman" w:hAnsi="Century Gothic" w:cs="Arial"/>
                <w:b/>
                <w:bCs/>
                <w:u w:val="single"/>
              </w:rPr>
            </w:pPr>
          </w:p>
          <w:p w14:paraId="6A359A70" w14:textId="77777777" w:rsidR="006F74BE" w:rsidRPr="00D61E32" w:rsidRDefault="006F74BE" w:rsidP="006F74BE">
            <w:pPr>
              <w:spacing w:after="0" w:line="240" w:lineRule="auto"/>
              <w:rPr>
                <w:rFonts w:ascii="Century Gothic" w:eastAsia="Times New Roman" w:hAnsi="Century Gothic" w:cs="Arial"/>
                <w:b/>
                <w:bCs/>
                <w:u w:val="single"/>
              </w:rPr>
            </w:pPr>
          </w:p>
          <w:p w14:paraId="2572A623" w14:textId="77777777" w:rsidR="006F74BE" w:rsidRPr="00D61E32" w:rsidRDefault="006F74BE" w:rsidP="006F74BE">
            <w:pPr>
              <w:spacing w:after="0" w:line="240" w:lineRule="auto"/>
              <w:rPr>
                <w:rFonts w:ascii="Century Gothic" w:eastAsia="Times New Roman" w:hAnsi="Century Gothic" w:cs="Arial"/>
                <w:b/>
                <w:bCs/>
                <w:u w:val="single"/>
              </w:rPr>
            </w:pPr>
          </w:p>
          <w:p w14:paraId="3A5C5253" w14:textId="77777777" w:rsidR="006F74BE" w:rsidRPr="00D61E32" w:rsidRDefault="006F74BE" w:rsidP="006F74BE">
            <w:pPr>
              <w:spacing w:after="0" w:line="240" w:lineRule="auto"/>
              <w:rPr>
                <w:rFonts w:ascii="Century Gothic" w:eastAsia="Times New Roman" w:hAnsi="Century Gothic" w:cs="Arial"/>
                <w:b/>
                <w:bCs/>
                <w:u w:val="single"/>
              </w:rPr>
            </w:pPr>
          </w:p>
          <w:p w14:paraId="02CF0A2E" w14:textId="77777777" w:rsidR="006F74BE" w:rsidRPr="00D61E32" w:rsidRDefault="006F74BE" w:rsidP="006F74BE">
            <w:pPr>
              <w:spacing w:after="0" w:line="240" w:lineRule="auto"/>
              <w:ind w:left="345" w:hanging="345"/>
              <w:rPr>
                <w:rFonts w:ascii="Century Gothic" w:eastAsia="Times New Roman" w:hAnsi="Century Gothic" w:cs="Arial"/>
                <w:b/>
                <w:bCs/>
                <w:u w:val="single"/>
              </w:rPr>
            </w:pPr>
          </w:p>
        </w:tc>
      </w:tr>
      <w:tr w:rsidR="006F74BE" w:rsidRPr="00D61E32" w14:paraId="2CED8889" w14:textId="77777777" w:rsidTr="00D61E32">
        <w:trPr>
          <w:trHeight w:val="1720"/>
        </w:trPr>
        <w:tc>
          <w:tcPr>
            <w:tcW w:w="2970" w:type="dxa"/>
            <w:tcBorders>
              <w:top w:val="single" w:sz="4" w:space="0" w:color="auto"/>
              <w:left w:val="single" w:sz="4" w:space="0" w:color="auto"/>
              <w:bottom w:val="single" w:sz="4" w:space="0" w:color="auto"/>
              <w:right w:val="single" w:sz="4" w:space="0" w:color="auto"/>
            </w:tcBorders>
          </w:tcPr>
          <w:p w14:paraId="5E241C00" w14:textId="4210AB18" w:rsidR="006F74BE" w:rsidRPr="00D61E32" w:rsidRDefault="006F74BE" w:rsidP="006F74BE">
            <w:pPr>
              <w:spacing w:after="0" w:line="240" w:lineRule="auto"/>
              <w:rPr>
                <w:rFonts w:ascii="Century Gothic" w:eastAsia="Times New Roman" w:hAnsi="Century Gothic" w:cs="Arial"/>
                <w:b/>
                <w:i/>
              </w:rPr>
            </w:pPr>
            <w:r w:rsidRPr="00D61E32">
              <w:rPr>
                <w:rFonts w:ascii="Century Gothic" w:eastAsia="Times New Roman" w:hAnsi="Century Gothic" w:cs="Arial"/>
                <w:b/>
                <w:i/>
              </w:rPr>
              <w:t xml:space="preserve">Step 4(b): Identify and define the factors and processes that are used to monitor and evaluate the efficacy and validity of Medical Necessity </w:t>
            </w:r>
            <w:proofErr w:type="gramStart"/>
            <w:r w:rsidRPr="00D61E32">
              <w:rPr>
                <w:rFonts w:ascii="Century Gothic" w:eastAsia="Times New Roman" w:hAnsi="Century Gothic" w:cs="Arial"/>
                <w:b/>
                <w:i/>
              </w:rPr>
              <w:t>guidelines</w:t>
            </w:r>
            <w:proofErr w:type="gramEnd"/>
          </w:p>
          <w:p w14:paraId="5080BED8"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 xml:space="preserve">Wellfleet </w:t>
            </w:r>
          </w:p>
          <w:p w14:paraId="32F4FC99" w14:textId="2276F6F8" w:rsidR="006F74BE" w:rsidRPr="00D61E32" w:rsidRDefault="006F74BE" w:rsidP="006F74BE">
            <w:pPr>
              <w:spacing w:after="0" w:line="240" w:lineRule="auto"/>
              <w:rPr>
                <w:rFonts w:ascii="Century Gothic" w:eastAsia="Calibri" w:hAnsi="Century Gothic" w:cs="Arial"/>
              </w:rPr>
            </w:pPr>
            <w:bookmarkStart w:id="1" w:name="OLE_LINK43"/>
            <w:bookmarkStart w:id="2" w:name="OLE_LINK1"/>
            <w:bookmarkStart w:id="3" w:name="OLE_LINK2"/>
            <w:r w:rsidRPr="00D61E32">
              <w:rPr>
                <w:rFonts w:ascii="Century Gothic" w:eastAsia="Calibri" w:hAnsi="Century Gothic" w:cs="Arial"/>
              </w:rPr>
              <w:t xml:space="preserve">The number of utilization review decisions across the Wellfleet - Cigna book of business data noted below, reflects significantly less denial rates on average across all benefit classifications for utilization management for MHSUD including prior authorization, concurrent </w:t>
            </w:r>
            <w:proofErr w:type="gramStart"/>
            <w:r w:rsidRPr="00D61E32">
              <w:rPr>
                <w:rFonts w:ascii="Century Gothic" w:eastAsia="Calibri" w:hAnsi="Century Gothic" w:cs="Arial"/>
              </w:rPr>
              <w:t>review</w:t>
            </w:r>
            <w:proofErr w:type="gramEnd"/>
            <w:r w:rsidRPr="00D61E32">
              <w:rPr>
                <w:rFonts w:ascii="Century Gothic" w:eastAsia="Calibri" w:hAnsi="Century Gothic" w:cs="Arial"/>
              </w:rPr>
              <w:t xml:space="preserve"> and retrospective review for medical necessity denials.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services denials are significantly higher than medical necessity denials of MH/SUD services. </w:t>
            </w:r>
            <w:bookmarkEnd w:id="1"/>
            <w:bookmarkEnd w:id="2"/>
            <w:bookmarkEnd w:id="3"/>
          </w:p>
          <w:p w14:paraId="214CA82D"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 xml:space="preserve">Cigna </w:t>
            </w:r>
          </w:p>
          <w:p w14:paraId="6CAFBD7D"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 regularly reviews utilization management data to evaluate and ensure operational compliance of the medical management suite of NQTLs, including Medical Necessity and Appeals, Prior Authorization and Concurrent Review. Data is reviewed by benefit classification and sub-classification to calculate denial rates to ensure comparability. Cigna’s application of the medical necessity NQTL, specifically approvals and denials rates, for Prior Authorization, Retrospective Review, and Concurrent Review across benefit classifications for Wellfleet- Cigna plans revealed no statistically significant discrepancies in medical necessity denial rates as-between MH/SUD and M/S benefits. Cigna utilizes appeals data to review the number of utilization review decisions across the book-of-business.  Appeals data is delineated by </w:t>
            </w:r>
            <w:proofErr w:type="gramStart"/>
            <w:r w:rsidRPr="00D61E32">
              <w:rPr>
                <w:rFonts w:ascii="Century Gothic" w:eastAsia="Times New Roman" w:hAnsi="Century Gothic" w:cs="Arial"/>
              </w:rPr>
              <w:t>pre</w:t>
            </w:r>
            <w:proofErr w:type="gramEnd"/>
            <w:r w:rsidRPr="00D61E32">
              <w:rPr>
                <w:rFonts w:ascii="Century Gothic" w:eastAsia="Times New Roman" w:hAnsi="Century Gothic" w:cs="Arial"/>
              </w:rPr>
              <w:t xml:space="preserve"> and post services and includes prior authorization and concurrent review, overturned for the same time period relating to the utilization management data metrics. Data reflected for Wellfleet book of business from Cigna shows overall comparable overturn rates across benefit classifications.  </w:t>
            </w:r>
          </w:p>
          <w:p w14:paraId="2D0560DE" w14:textId="77777777" w:rsidR="006F74BE" w:rsidRPr="00D61E32" w:rsidRDefault="006F74BE" w:rsidP="006F74BE">
            <w:pPr>
              <w:spacing w:after="0" w:line="240" w:lineRule="auto"/>
              <w:rPr>
                <w:rFonts w:ascii="Century Gothic" w:eastAsia="Times New Roman" w:hAnsi="Century Gothic" w:cs="Arial"/>
              </w:rPr>
            </w:pPr>
          </w:p>
        </w:tc>
        <w:tc>
          <w:tcPr>
            <w:tcW w:w="6475" w:type="dxa"/>
            <w:tcBorders>
              <w:top w:val="single" w:sz="4" w:space="0" w:color="auto"/>
              <w:left w:val="single" w:sz="4" w:space="0" w:color="auto"/>
              <w:bottom w:val="single" w:sz="4" w:space="0" w:color="auto"/>
              <w:right w:val="single" w:sz="4" w:space="0" w:color="auto"/>
            </w:tcBorders>
          </w:tcPr>
          <w:p w14:paraId="42BDA67B" w14:textId="14808B91" w:rsidR="006F74BE" w:rsidRPr="00D61E32" w:rsidRDefault="006F74BE" w:rsidP="006F74BE">
            <w:pPr>
              <w:spacing w:after="0" w:line="240" w:lineRule="auto"/>
              <w:rPr>
                <w:rFonts w:ascii="Century Gothic" w:eastAsia="Times New Roman" w:hAnsi="Century Gothic" w:cs="Arial"/>
                <w:b/>
                <w:i/>
              </w:rPr>
            </w:pPr>
            <w:r w:rsidRPr="00D61E32">
              <w:rPr>
                <w:rFonts w:ascii="Century Gothic" w:eastAsia="Times New Roman" w:hAnsi="Century Gothic" w:cs="Arial"/>
                <w:b/>
                <w:i/>
              </w:rPr>
              <w:t xml:space="preserve">Step 4(b): Identify and define the factors and processes that are used to monitor and evaluate the efficacy and validity of Medical Necessity </w:t>
            </w:r>
            <w:proofErr w:type="gramStart"/>
            <w:r w:rsidRPr="00D61E32">
              <w:rPr>
                <w:rFonts w:ascii="Century Gothic" w:eastAsia="Times New Roman" w:hAnsi="Century Gothic" w:cs="Arial"/>
                <w:b/>
                <w:i/>
              </w:rPr>
              <w:t>guidelines</w:t>
            </w:r>
            <w:proofErr w:type="gramEnd"/>
          </w:p>
          <w:p w14:paraId="00A89A6C" w14:textId="2BBA69FA" w:rsidR="006F74BE" w:rsidRPr="00D61E32" w:rsidRDefault="00D61E32" w:rsidP="006F74BE">
            <w:pPr>
              <w:spacing w:after="0" w:line="240" w:lineRule="auto"/>
              <w:rPr>
                <w:rFonts w:ascii="Century Gothic" w:eastAsia="Times New Roman" w:hAnsi="Century Gothic" w:cs="Arial"/>
                <w:b/>
                <w:iCs/>
                <w:u w:val="single"/>
              </w:rPr>
            </w:pPr>
            <w:r w:rsidRPr="00D61E32">
              <w:rPr>
                <w:rFonts w:ascii="Century Gothic" w:eastAsia="Times New Roman" w:hAnsi="Century Gothic" w:cs="Arial"/>
                <w:b/>
                <w:iCs/>
                <w:u w:val="single"/>
              </w:rPr>
              <w:t>Wellfleet</w:t>
            </w:r>
          </w:p>
          <w:p w14:paraId="3C745101" w14:textId="686D5066" w:rsidR="00D61E32" w:rsidRPr="00D61E32" w:rsidRDefault="00D61E32" w:rsidP="006F74BE">
            <w:pPr>
              <w:spacing w:after="0" w:line="240" w:lineRule="auto"/>
              <w:rPr>
                <w:rFonts w:ascii="Century Gothic" w:eastAsia="Times New Roman" w:hAnsi="Century Gothic" w:cs="Arial"/>
                <w:bCs/>
                <w:iCs/>
              </w:rPr>
            </w:pPr>
            <w:r w:rsidRPr="00D61E32">
              <w:rPr>
                <w:rFonts w:ascii="Century Gothic" w:eastAsia="Times New Roman" w:hAnsi="Century Gothic" w:cs="Arial"/>
                <w:bCs/>
                <w:iCs/>
              </w:rPr>
              <w:t>Same as M/S</w:t>
            </w:r>
          </w:p>
          <w:p w14:paraId="0790333E" w14:textId="77777777" w:rsidR="00D61E32" w:rsidRPr="00D61E32" w:rsidRDefault="00D61E32" w:rsidP="006F74BE">
            <w:pPr>
              <w:spacing w:after="0" w:line="240" w:lineRule="auto"/>
              <w:rPr>
                <w:rFonts w:ascii="Century Gothic" w:eastAsia="Times New Roman" w:hAnsi="Century Gothic" w:cs="Arial"/>
                <w:bCs/>
                <w:iCs/>
              </w:rPr>
            </w:pPr>
          </w:p>
          <w:p w14:paraId="2AB0EAC0" w14:textId="77777777" w:rsidR="00D61E32" w:rsidRPr="00D61E32" w:rsidRDefault="00D61E32" w:rsidP="006F74BE">
            <w:pPr>
              <w:spacing w:after="0" w:line="240" w:lineRule="auto"/>
              <w:rPr>
                <w:rFonts w:ascii="Century Gothic" w:eastAsia="Times New Roman" w:hAnsi="Century Gothic" w:cs="Arial"/>
                <w:bCs/>
                <w:iCs/>
              </w:rPr>
            </w:pPr>
          </w:p>
          <w:p w14:paraId="596FCA1C" w14:textId="77777777" w:rsidR="00D61E32" w:rsidRPr="00D61E32" w:rsidRDefault="00D61E32" w:rsidP="006F74BE">
            <w:pPr>
              <w:spacing w:after="0" w:line="240" w:lineRule="auto"/>
              <w:rPr>
                <w:rFonts w:ascii="Century Gothic" w:eastAsia="Times New Roman" w:hAnsi="Century Gothic" w:cs="Arial"/>
                <w:bCs/>
                <w:iCs/>
              </w:rPr>
            </w:pPr>
          </w:p>
          <w:p w14:paraId="72AB6FB2" w14:textId="77777777" w:rsidR="00D61E32" w:rsidRPr="00D61E32" w:rsidRDefault="00D61E32" w:rsidP="006F74BE">
            <w:pPr>
              <w:spacing w:after="0" w:line="240" w:lineRule="auto"/>
              <w:rPr>
                <w:rFonts w:ascii="Century Gothic" w:eastAsia="Times New Roman" w:hAnsi="Century Gothic" w:cs="Arial"/>
                <w:bCs/>
                <w:iCs/>
              </w:rPr>
            </w:pPr>
          </w:p>
          <w:p w14:paraId="422C0D54" w14:textId="77777777" w:rsidR="00D61E32" w:rsidRPr="00D61E32" w:rsidRDefault="00D61E32" w:rsidP="006F74BE">
            <w:pPr>
              <w:spacing w:after="0" w:line="240" w:lineRule="auto"/>
              <w:rPr>
                <w:rFonts w:ascii="Century Gothic" w:eastAsia="Times New Roman" w:hAnsi="Century Gothic" w:cs="Arial"/>
                <w:bCs/>
                <w:iCs/>
              </w:rPr>
            </w:pPr>
          </w:p>
          <w:p w14:paraId="699CDD68" w14:textId="77777777" w:rsidR="00D61E32" w:rsidRPr="00D61E32" w:rsidRDefault="00D61E32" w:rsidP="006F74BE">
            <w:pPr>
              <w:spacing w:after="0" w:line="240" w:lineRule="auto"/>
              <w:rPr>
                <w:rFonts w:ascii="Century Gothic" w:eastAsia="Times New Roman" w:hAnsi="Century Gothic" w:cs="Arial"/>
                <w:bCs/>
                <w:iCs/>
              </w:rPr>
            </w:pPr>
          </w:p>
          <w:p w14:paraId="4DEEBEC8" w14:textId="77777777" w:rsidR="00D61E32" w:rsidRPr="00D61E32" w:rsidRDefault="00D61E32" w:rsidP="006F74BE">
            <w:pPr>
              <w:spacing w:after="0" w:line="240" w:lineRule="auto"/>
              <w:rPr>
                <w:rFonts w:ascii="Century Gothic" w:eastAsia="Times New Roman" w:hAnsi="Century Gothic" w:cs="Arial"/>
                <w:bCs/>
                <w:iCs/>
              </w:rPr>
            </w:pPr>
          </w:p>
          <w:p w14:paraId="0C9E4EC4" w14:textId="77777777" w:rsidR="00D61E32" w:rsidRPr="00D61E32" w:rsidRDefault="00D61E32" w:rsidP="006F74BE">
            <w:pPr>
              <w:spacing w:after="0" w:line="240" w:lineRule="auto"/>
              <w:rPr>
                <w:rFonts w:ascii="Century Gothic" w:eastAsia="Times New Roman" w:hAnsi="Century Gothic" w:cs="Arial"/>
                <w:bCs/>
                <w:iCs/>
              </w:rPr>
            </w:pPr>
          </w:p>
          <w:p w14:paraId="31479508" w14:textId="77777777" w:rsidR="00D61E32" w:rsidRPr="00D61E32" w:rsidRDefault="00D61E32" w:rsidP="006F74BE">
            <w:pPr>
              <w:spacing w:after="0" w:line="240" w:lineRule="auto"/>
              <w:rPr>
                <w:rFonts w:ascii="Century Gothic" w:eastAsia="Times New Roman" w:hAnsi="Century Gothic" w:cs="Arial"/>
                <w:bCs/>
                <w:iCs/>
              </w:rPr>
            </w:pPr>
          </w:p>
          <w:p w14:paraId="38D97A3A" w14:textId="77777777" w:rsidR="00D61E32" w:rsidRDefault="00D61E32" w:rsidP="006F74BE">
            <w:pPr>
              <w:spacing w:after="0" w:line="240" w:lineRule="auto"/>
              <w:rPr>
                <w:rFonts w:ascii="Century Gothic" w:eastAsia="Times New Roman" w:hAnsi="Century Gothic" w:cs="Arial"/>
                <w:bCs/>
                <w:iCs/>
              </w:rPr>
            </w:pPr>
          </w:p>
          <w:p w14:paraId="536BBB2C" w14:textId="77777777" w:rsidR="00D61E32" w:rsidRPr="00D61E32" w:rsidRDefault="00D61E32" w:rsidP="006F74BE">
            <w:pPr>
              <w:spacing w:after="0" w:line="240" w:lineRule="auto"/>
              <w:rPr>
                <w:rFonts w:ascii="Century Gothic" w:eastAsia="Times New Roman" w:hAnsi="Century Gothic" w:cs="Arial"/>
                <w:bCs/>
                <w:iCs/>
              </w:rPr>
            </w:pPr>
          </w:p>
          <w:p w14:paraId="5F38DDA0" w14:textId="77777777" w:rsidR="006F74BE" w:rsidRPr="00D61E32" w:rsidRDefault="006F74BE" w:rsidP="006F74BE">
            <w:pPr>
              <w:spacing w:after="0" w:line="240" w:lineRule="auto"/>
              <w:rPr>
                <w:rFonts w:ascii="Century Gothic" w:eastAsia="Times New Roman" w:hAnsi="Century Gothic" w:cs="Arial"/>
                <w:b/>
                <w:iCs/>
                <w:u w:val="single"/>
              </w:rPr>
            </w:pPr>
            <w:r w:rsidRPr="00D61E32">
              <w:rPr>
                <w:rFonts w:ascii="Century Gothic" w:eastAsia="Times New Roman" w:hAnsi="Century Gothic" w:cs="Arial"/>
                <w:b/>
                <w:iCs/>
                <w:u w:val="single"/>
              </w:rPr>
              <w:t xml:space="preserve">Cigna </w:t>
            </w:r>
          </w:p>
          <w:p w14:paraId="239B2C67" w14:textId="77777777" w:rsidR="006F74BE" w:rsidRPr="00D61E32" w:rsidRDefault="006F74BE" w:rsidP="006F74BE">
            <w:pPr>
              <w:spacing w:after="0" w:line="240" w:lineRule="auto"/>
              <w:rPr>
                <w:rFonts w:ascii="Century Gothic" w:eastAsia="Times New Roman" w:hAnsi="Century Gothic" w:cs="Arial"/>
                <w:bCs/>
                <w:iCs/>
              </w:rPr>
            </w:pPr>
            <w:r w:rsidRPr="00D61E32">
              <w:rPr>
                <w:rFonts w:ascii="Century Gothic" w:eastAsia="Times New Roman" w:hAnsi="Century Gothic" w:cs="Arial"/>
                <w:bCs/>
                <w:iCs/>
              </w:rPr>
              <w:t xml:space="preserve">Same as M/S </w:t>
            </w:r>
          </w:p>
          <w:p w14:paraId="1303323A" w14:textId="77777777" w:rsidR="006F74BE" w:rsidRPr="00D61E32" w:rsidRDefault="006F74BE" w:rsidP="006F74BE">
            <w:pPr>
              <w:spacing w:after="0" w:line="240" w:lineRule="auto"/>
              <w:rPr>
                <w:rFonts w:ascii="Century Gothic" w:eastAsia="Times New Roman" w:hAnsi="Century Gothic" w:cs="Arial"/>
                <w:bCs/>
                <w:iCs/>
              </w:rPr>
            </w:pPr>
          </w:p>
          <w:p w14:paraId="7CAAA77E" w14:textId="77777777" w:rsidR="006F74BE" w:rsidRPr="00D61E32" w:rsidRDefault="006F74BE" w:rsidP="006F74BE">
            <w:pPr>
              <w:spacing w:after="0" w:line="240" w:lineRule="auto"/>
              <w:rPr>
                <w:rFonts w:ascii="Century Gothic" w:eastAsia="Times New Roman" w:hAnsi="Century Gothic" w:cs="Arial"/>
                <w:bCs/>
                <w:iCs/>
              </w:rPr>
            </w:pPr>
          </w:p>
          <w:p w14:paraId="39E89777" w14:textId="77777777" w:rsidR="006F74BE" w:rsidRPr="00D61E32" w:rsidRDefault="006F74BE" w:rsidP="006F74BE">
            <w:pPr>
              <w:spacing w:after="0" w:line="240" w:lineRule="auto"/>
              <w:rPr>
                <w:rFonts w:ascii="Century Gothic" w:eastAsia="Times New Roman" w:hAnsi="Century Gothic" w:cs="Arial"/>
                <w:bCs/>
                <w:iCs/>
              </w:rPr>
            </w:pPr>
          </w:p>
          <w:p w14:paraId="2B079277" w14:textId="77777777" w:rsidR="006F74BE" w:rsidRPr="00D61E32" w:rsidRDefault="006F74BE" w:rsidP="006F74BE">
            <w:pPr>
              <w:spacing w:after="0" w:line="240" w:lineRule="auto"/>
              <w:rPr>
                <w:rFonts w:ascii="Century Gothic" w:eastAsia="Times New Roman" w:hAnsi="Century Gothic" w:cs="Arial"/>
                <w:bCs/>
                <w:iCs/>
              </w:rPr>
            </w:pPr>
          </w:p>
          <w:p w14:paraId="5C8A97BA" w14:textId="77777777" w:rsidR="006F74BE" w:rsidRPr="00D61E32" w:rsidRDefault="006F74BE" w:rsidP="006F74BE">
            <w:pPr>
              <w:spacing w:after="0" w:line="240" w:lineRule="auto"/>
              <w:rPr>
                <w:rFonts w:ascii="Century Gothic" w:eastAsia="Times New Roman" w:hAnsi="Century Gothic" w:cs="Arial"/>
                <w:bCs/>
                <w:iCs/>
              </w:rPr>
            </w:pPr>
          </w:p>
          <w:p w14:paraId="4BEB92C3" w14:textId="77777777" w:rsidR="006F74BE" w:rsidRPr="00D61E32" w:rsidRDefault="006F74BE" w:rsidP="006F74BE">
            <w:pPr>
              <w:spacing w:after="0" w:line="240" w:lineRule="auto"/>
              <w:rPr>
                <w:rFonts w:ascii="Century Gothic" w:eastAsia="Times New Roman" w:hAnsi="Century Gothic" w:cs="Arial"/>
                <w:bCs/>
                <w:iCs/>
              </w:rPr>
            </w:pPr>
          </w:p>
          <w:p w14:paraId="276A14AA" w14:textId="77777777" w:rsidR="006F74BE" w:rsidRPr="00D61E32" w:rsidRDefault="006F74BE" w:rsidP="006F74BE">
            <w:pPr>
              <w:spacing w:after="0" w:line="240" w:lineRule="auto"/>
              <w:rPr>
                <w:rFonts w:ascii="Century Gothic" w:eastAsia="Times New Roman" w:hAnsi="Century Gothic" w:cs="Arial"/>
                <w:bCs/>
                <w:iCs/>
              </w:rPr>
            </w:pPr>
          </w:p>
          <w:p w14:paraId="2BA77EB9" w14:textId="77777777" w:rsidR="006F74BE" w:rsidRPr="00D61E32" w:rsidRDefault="006F74BE" w:rsidP="006F74BE">
            <w:pPr>
              <w:spacing w:after="0" w:line="240" w:lineRule="auto"/>
              <w:rPr>
                <w:rFonts w:ascii="Century Gothic" w:eastAsia="Times New Roman" w:hAnsi="Century Gothic" w:cs="Arial"/>
                <w:bCs/>
                <w:iCs/>
              </w:rPr>
            </w:pPr>
          </w:p>
          <w:p w14:paraId="53B54530" w14:textId="77777777" w:rsidR="006F74BE" w:rsidRPr="00D61E32" w:rsidRDefault="006F74BE" w:rsidP="006F74BE">
            <w:pPr>
              <w:spacing w:after="0" w:line="240" w:lineRule="auto"/>
              <w:rPr>
                <w:rFonts w:ascii="Century Gothic" w:eastAsia="Times New Roman" w:hAnsi="Century Gothic" w:cs="Arial"/>
                <w:bCs/>
                <w:iCs/>
              </w:rPr>
            </w:pPr>
          </w:p>
          <w:p w14:paraId="6C2C354D" w14:textId="77777777" w:rsidR="006F74BE" w:rsidRPr="00D61E32" w:rsidRDefault="006F74BE" w:rsidP="006F74BE">
            <w:pPr>
              <w:spacing w:after="0" w:line="240" w:lineRule="auto"/>
              <w:rPr>
                <w:rFonts w:ascii="Century Gothic" w:eastAsia="Times New Roman" w:hAnsi="Century Gothic" w:cs="Arial"/>
                <w:bCs/>
                <w:iCs/>
              </w:rPr>
            </w:pPr>
          </w:p>
          <w:p w14:paraId="7705B644" w14:textId="77777777" w:rsidR="006F74BE" w:rsidRPr="00D61E32" w:rsidRDefault="006F74BE" w:rsidP="006F74BE">
            <w:pPr>
              <w:spacing w:after="0" w:line="240" w:lineRule="auto"/>
              <w:rPr>
                <w:rFonts w:ascii="Century Gothic" w:eastAsia="Times New Roman" w:hAnsi="Century Gothic" w:cs="Arial"/>
                <w:bCs/>
                <w:iCs/>
              </w:rPr>
            </w:pPr>
          </w:p>
          <w:p w14:paraId="312E531A" w14:textId="77777777" w:rsidR="006F74BE" w:rsidRPr="00D61E32" w:rsidRDefault="006F74BE" w:rsidP="006F74BE">
            <w:pPr>
              <w:spacing w:after="0" w:line="240" w:lineRule="auto"/>
              <w:rPr>
                <w:rFonts w:ascii="Century Gothic" w:eastAsia="Times New Roman" w:hAnsi="Century Gothic" w:cs="Arial"/>
                <w:bCs/>
                <w:iCs/>
              </w:rPr>
            </w:pPr>
          </w:p>
          <w:p w14:paraId="5936E4C9" w14:textId="77777777" w:rsidR="006F74BE" w:rsidRPr="00D61E32" w:rsidRDefault="006F74BE" w:rsidP="006F74BE">
            <w:pPr>
              <w:spacing w:after="0" w:line="240" w:lineRule="auto"/>
              <w:rPr>
                <w:rFonts w:ascii="Century Gothic" w:eastAsia="Times New Roman" w:hAnsi="Century Gothic" w:cs="Arial"/>
                <w:bCs/>
                <w:iCs/>
              </w:rPr>
            </w:pPr>
          </w:p>
          <w:p w14:paraId="29F3D2C8" w14:textId="77777777" w:rsidR="006F74BE" w:rsidRPr="00D61E32" w:rsidRDefault="006F74BE" w:rsidP="006F74BE">
            <w:pPr>
              <w:spacing w:after="0" w:line="240" w:lineRule="auto"/>
              <w:rPr>
                <w:rFonts w:ascii="Century Gothic" w:eastAsia="Times New Roman" w:hAnsi="Century Gothic" w:cs="Arial"/>
                <w:bCs/>
                <w:iCs/>
              </w:rPr>
            </w:pPr>
          </w:p>
          <w:p w14:paraId="09E9FB61" w14:textId="77777777" w:rsidR="006F74BE" w:rsidRPr="00D61E32" w:rsidRDefault="006F74BE" w:rsidP="006F74BE">
            <w:pPr>
              <w:spacing w:after="0" w:line="240" w:lineRule="auto"/>
              <w:rPr>
                <w:rFonts w:ascii="Century Gothic" w:eastAsia="Times New Roman" w:hAnsi="Century Gothic" w:cs="Arial"/>
                <w:bCs/>
                <w:iCs/>
              </w:rPr>
            </w:pPr>
          </w:p>
          <w:p w14:paraId="705D7EF8" w14:textId="77777777" w:rsidR="006F74BE" w:rsidRPr="00D61E32" w:rsidRDefault="006F74BE" w:rsidP="006F74BE">
            <w:pPr>
              <w:spacing w:after="0" w:line="240" w:lineRule="auto"/>
              <w:rPr>
                <w:rFonts w:ascii="Century Gothic" w:eastAsia="Times New Roman" w:hAnsi="Century Gothic" w:cs="Arial"/>
                <w:bCs/>
                <w:iCs/>
              </w:rPr>
            </w:pPr>
          </w:p>
          <w:p w14:paraId="4DDCDBEA" w14:textId="77777777" w:rsidR="006F74BE" w:rsidRPr="00D61E32" w:rsidRDefault="006F74BE" w:rsidP="006F74BE">
            <w:pPr>
              <w:spacing w:after="0" w:line="240" w:lineRule="auto"/>
              <w:rPr>
                <w:rFonts w:ascii="Century Gothic" w:eastAsia="Times New Roman" w:hAnsi="Century Gothic" w:cs="Arial"/>
                <w:bCs/>
                <w:iCs/>
              </w:rPr>
            </w:pPr>
          </w:p>
        </w:tc>
      </w:tr>
      <w:tr w:rsidR="006F74BE" w:rsidRPr="00D61E32" w14:paraId="5E4A8C94" w14:textId="77777777" w:rsidTr="004138AC">
        <w:trPr>
          <w:trHeight w:val="720"/>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2F9BB228" w14:textId="77777777" w:rsidR="006F74BE" w:rsidRPr="00D61E32" w:rsidRDefault="006F74BE" w:rsidP="006F74BE">
            <w:pPr>
              <w:spacing w:after="0" w:line="240" w:lineRule="auto"/>
              <w:rPr>
                <w:rFonts w:ascii="Century Gothic" w:eastAsia="Times New Roman" w:hAnsi="Century Gothic" w:cs="Arial"/>
                <w:b/>
                <w:bCs/>
              </w:rPr>
            </w:pPr>
            <w:r w:rsidRPr="00D61E32">
              <w:rPr>
                <w:rFonts w:ascii="Century Gothic" w:eastAsia="Times New Roman" w:hAnsi="Century Gothic" w:cs="Arial"/>
                <w:b/>
                <w:bCs/>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D61E32">
              <w:rPr>
                <w:rFonts w:ascii="Century Gothic" w:eastAsia="Times New Roman" w:hAnsi="Century Gothic" w:cs="Arial"/>
                <w:b/>
                <w:bCs/>
              </w:rPr>
              <w:t>section</w:t>
            </w:r>
            <w:proofErr w:type="gramEnd"/>
          </w:p>
          <w:p w14:paraId="030E7FD4" w14:textId="77777777" w:rsidR="006F74BE" w:rsidRPr="00D61E32" w:rsidRDefault="006F74BE" w:rsidP="006F74BE">
            <w:pPr>
              <w:numPr>
                <w:ilvl w:val="0"/>
                <w:numId w:val="20"/>
              </w:numPr>
              <w:spacing w:after="0" w:line="240" w:lineRule="auto"/>
              <w:contextualSpacing/>
              <w:rPr>
                <w:rFonts w:ascii="Century Gothic" w:eastAsia="Times New Roman" w:hAnsi="Century Gothic" w:cs="Arial"/>
                <w:bCs/>
                <w:i/>
              </w:rPr>
            </w:pPr>
            <w:r w:rsidRPr="00D61E32">
              <w:rPr>
                <w:rFonts w:ascii="Century Gothic" w:eastAsia="Times New Roman" w:hAnsi="Century Gothic" w:cs="Arial"/>
                <w:bCs/>
                <w:i/>
              </w:rPr>
              <w:t>This discussion should include citations to any specific evidence considered and any results of analyses indicating that the plan or coverage is or is not in compliance with MHPAEA</w:t>
            </w:r>
            <w:r w:rsidRPr="00D61E32">
              <w:rPr>
                <w:rFonts w:ascii="Century Gothic" w:eastAsia="Times New Roman" w:hAnsi="Century Gothic" w:cs="Arial"/>
                <w:bCs/>
                <w:i/>
                <w:vertAlign w:val="superscript"/>
              </w:rPr>
              <w:footnoteReference w:id="8"/>
            </w:r>
          </w:p>
        </w:tc>
      </w:tr>
      <w:tr w:rsidR="006F74BE" w:rsidRPr="00D61E32" w14:paraId="28057666" w14:textId="77777777" w:rsidTr="004138AC">
        <w:trPr>
          <w:trHeight w:val="1988"/>
        </w:trPr>
        <w:tc>
          <w:tcPr>
            <w:tcW w:w="0" w:type="auto"/>
            <w:gridSpan w:val="2"/>
            <w:tcBorders>
              <w:top w:val="single" w:sz="4" w:space="0" w:color="auto"/>
              <w:left w:val="single" w:sz="4" w:space="0" w:color="auto"/>
              <w:bottom w:val="single" w:sz="4" w:space="0" w:color="auto"/>
              <w:right w:val="single" w:sz="4" w:space="0" w:color="auto"/>
            </w:tcBorders>
          </w:tcPr>
          <w:p w14:paraId="337A6F91"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 xml:space="preserve">As written: </w:t>
            </w:r>
          </w:p>
          <w:p w14:paraId="35F96471" w14:textId="77777777" w:rsidR="006F74BE" w:rsidRPr="00D61E32" w:rsidRDefault="006F74BE" w:rsidP="006F74BE">
            <w:pPr>
              <w:spacing w:after="0" w:line="240" w:lineRule="auto"/>
              <w:rPr>
                <w:rFonts w:ascii="Century Gothic" w:eastAsia="Times New Roman" w:hAnsi="Century Gothic" w:cs="Arial"/>
                <w:u w:val="single"/>
              </w:rPr>
            </w:pPr>
            <w:r w:rsidRPr="00D61E32">
              <w:rPr>
                <w:rFonts w:ascii="Century Gothic" w:eastAsia="Times New Roman" w:hAnsi="Century Gothic" w:cs="Arial"/>
                <w:u w:val="single"/>
                <w:lang w:val="x-none"/>
              </w:rPr>
              <w:t>Cigna</w:t>
            </w:r>
          </w:p>
          <w:p w14:paraId="3B8F0669"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A review of Cigna’s written policies and processes reveals the comparable application of Medical Necessity to M/S and MH/SUD services within the applicable benefit classification.  Cigna's Medical Necessity coverage policy development and application process is consistent between M/S and MH/SUD.  Cigna applies comparable evidence-based guidelines to define established standards of effective care in both M/S and MH/SUD benefits. Compliance is further demonstrated through Cigna’s uniform definition of Medical Necessity for M/S and MH/SUD benefits. Consistency in policy development, process and application </w:t>
            </w:r>
            <w:proofErr w:type="gramStart"/>
            <w:r w:rsidRPr="00D61E32">
              <w:rPr>
                <w:rFonts w:ascii="Century Gothic" w:eastAsia="Times New Roman" w:hAnsi="Century Gothic" w:cs="Arial"/>
              </w:rPr>
              <w:t>evidences</w:t>
            </w:r>
            <w:proofErr w:type="gramEnd"/>
            <w:r w:rsidRPr="00D61E32">
              <w:rPr>
                <w:rFonts w:ascii="Century Gothic" w:eastAsia="Times New Roman" w:hAnsi="Century Gothic" w:cs="Arial"/>
              </w:rPr>
              <w:t xml:space="preserve"> compliance with the NQTL requirement that the medical management process be applied comparably, and no more stringently, to MH/SUD services than to M/S services.  </w:t>
            </w:r>
          </w:p>
          <w:p w14:paraId="091E78B2"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The only difference between the assessment of medical necessity for MH/SUD and M/S services is Cigna’s peer-to-peer process described in Step 4. While this process is different for MH/SUD it is nonetheless more favorable for MH/SUD services. If Cigna’s pro-active, </w:t>
            </w:r>
            <w:r w:rsidRPr="00D61E32">
              <w:rPr>
                <w:rFonts w:ascii="Century Gothic" w:eastAsia="Times New Roman" w:hAnsi="Century Gothic" w:cs="Arial"/>
                <w:i/>
              </w:rPr>
              <w:t>volunteer</w:t>
            </w:r>
            <w:r w:rsidRPr="00D61E32">
              <w:rPr>
                <w:rFonts w:ascii="Century Gothic" w:eastAsia="Times New Roman" w:hAnsi="Century Gothic" w:cs="Arial"/>
              </w:rPr>
              <w:t xml:space="preserve"> Peer-to-Peer review were not applicable to MH/SUD services, and such services followed a similar process to the M/S benefit, services that were approved due to such Peer-to-Peer review, would have been much more likely to have resulted in a denial without additional information or discussion to meet clinical criteria.  The provider has the right to decline the peer review and move forward retaining the same rights post-decision/denial. Cigna’s pro-active Peer-to-Peer review is more favorable to the enrollee and the rendering/requesting provide resulting in a less stringent, more advantageous process for MH/SUD claims because it is proactive, as compared to the process for M/S claims whereby any peer-to-peer review is, unless otherwise required by state law, conducted reactively, i.e., if the rendering provider outreaches to Cigna.</w:t>
            </w:r>
          </w:p>
          <w:p w14:paraId="7ED11E02"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 has not identified any additional discrepancies in operational policies between MH/SUD and M/S benefits where the discrepancies present a comparability or stringency problem within the context of the NQTL requirement.  Instances where discrepancies between the process of administering MH/SUD and M/S benefits do not present an NQTL issue include, for example, situations where a discrepancy in process is </w:t>
            </w:r>
            <w:r w:rsidRPr="00D61E32">
              <w:rPr>
                <w:rFonts w:ascii="Century Gothic" w:eastAsia="Times New Roman" w:hAnsi="Century Gothic" w:cs="Arial"/>
                <w:i/>
              </w:rPr>
              <w:t xml:space="preserve">more </w:t>
            </w:r>
            <w:r w:rsidRPr="00D61E32">
              <w:rPr>
                <w:rFonts w:ascii="Century Gothic" w:eastAsia="Times New Roman" w:hAnsi="Century Gothic" w:cs="Arial"/>
              </w:rPr>
              <w:t>advantageous to the administration of MH/SUD benefits than M/S benefits such as the pro-active behavioral health peer-to-peer review process outlined herein.</w:t>
            </w:r>
          </w:p>
          <w:p w14:paraId="6CDCFA6A" w14:textId="77777777" w:rsidR="006F74BE" w:rsidRPr="00D61E32" w:rsidRDefault="006F74BE" w:rsidP="006F74BE">
            <w:pPr>
              <w:spacing w:after="0" w:line="240" w:lineRule="auto"/>
              <w:rPr>
                <w:rFonts w:ascii="Century Gothic" w:eastAsia="Times New Roman" w:hAnsi="Century Gothic" w:cs="Arial"/>
                <w:b/>
                <w:bCs/>
                <w:u w:val="single"/>
              </w:rPr>
            </w:pPr>
            <w:r w:rsidRPr="00D61E32">
              <w:rPr>
                <w:rFonts w:ascii="Century Gothic" w:eastAsia="Times New Roman" w:hAnsi="Century Gothic" w:cs="Arial"/>
                <w:b/>
                <w:bCs/>
                <w:u w:val="single"/>
              </w:rPr>
              <w:t xml:space="preserve">In operation: </w:t>
            </w:r>
          </w:p>
          <w:p w14:paraId="747FB143" w14:textId="77777777" w:rsidR="006F74BE" w:rsidRPr="00D61E32" w:rsidRDefault="006F74BE" w:rsidP="006F74BE">
            <w:pPr>
              <w:spacing w:after="0" w:line="240" w:lineRule="auto"/>
              <w:rPr>
                <w:rFonts w:ascii="Century Gothic" w:eastAsia="Times New Roman" w:hAnsi="Century Gothic" w:cs="Arial"/>
                <w:u w:val="single"/>
              </w:rPr>
            </w:pPr>
            <w:r w:rsidRPr="00D61E32">
              <w:rPr>
                <w:rFonts w:ascii="Century Gothic" w:eastAsia="Times New Roman" w:hAnsi="Century Gothic" w:cs="Arial"/>
                <w:u w:val="single"/>
                <w:lang w:val="x-none"/>
              </w:rPr>
              <w:t>Cigna</w:t>
            </w:r>
          </w:p>
          <w:p w14:paraId="61C041D0"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Approximately 37% of all pre-service MH/SUD peer-to-peer reviews inclusive of read only reviews, which includes a Medical Director review of the medical file without discussion when a peer-to-peer is scheduled but the requesting provider does not attend, in Cigna’s book-of-business data resulted in approvals that may otherwise have resulted in a medical necessity denial.</w:t>
            </w:r>
          </w:p>
          <w:p w14:paraId="27A9A6C0"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rPr>
              <w:t xml:space="preserve">Additionally, Cigna conducts routine (occurring no less frequently than annually) Inter-Rater Reliability (IRR) testing is used to evaluate consistency of clinical decision-making across reviewers and to identify any potential revisions to coverage policies that may be warranted. Corrective action is initiated if a score falls below 85% and if the results are below 90% the Medical Director will evaluate the scores and decide whether to convene a review process with the Medical Directors/Physician Reviewers. Of note, the company’s most recent MH/SUD IRR exercise did not reveal a need to revise its coverage policies governing reviews of MH/SUD benefits. </w:t>
            </w:r>
          </w:p>
          <w:p w14:paraId="60B81867" w14:textId="77777777" w:rsidR="006F74BE" w:rsidRPr="00D61E32" w:rsidRDefault="006F74BE" w:rsidP="006F74BE">
            <w:pPr>
              <w:spacing w:after="0" w:line="240" w:lineRule="auto"/>
              <w:rPr>
                <w:rFonts w:ascii="Century Gothic" w:eastAsia="Calibri" w:hAnsi="Century Gothic" w:cs="Arial"/>
                <w:u w:val="single"/>
              </w:rPr>
            </w:pPr>
            <w:r w:rsidRPr="00D61E32">
              <w:rPr>
                <w:rFonts w:ascii="Century Gothic" w:eastAsia="Calibri" w:hAnsi="Century Gothic" w:cs="Arial"/>
                <w:u w:val="single"/>
              </w:rPr>
              <w:t xml:space="preserve">Wellfleet </w:t>
            </w:r>
          </w:p>
          <w:p w14:paraId="118D0B60" w14:textId="77777777" w:rsidR="006F74BE" w:rsidRPr="00D61E32" w:rsidRDefault="006F74BE" w:rsidP="006F74BE">
            <w:pPr>
              <w:spacing w:after="0" w:line="240" w:lineRule="auto"/>
              <w:rPr>
                <w:rFonts w:ascii="Century Gothic" w:eastAsia="Calibri" w:hAnsi="Century Gothic" w:cs="Arial"/>
              </w:rPr>
            </w:pPr>
            <w:r w:rsidRPr="00D61E32">
              <w:rPr>
                <w:rFonts w:ascii="Century Gothic" w:eastAsia="Calibri" w:hAnsi="Century Gothic" w:cs="Arial"/>
              </w:rPr>
              <w:t xml:space="preserve">The number of utilization review decisions across the Wellfleet - Cigna book of business data noted below, reflects significantly less denial rates on average across all benefit classifications for utilization management for MHSUD including prior authorization, concurrent </w:t>
            </w:r>
            <w:proofErr w:type="gramStart"/>
            <w:r w:rsidRPr="00D61E32">
              <w:rPr>
                <w:rFonts w:ascii="Century Gothic" w:eastAsia="Calibri" w:hAnsi="Century Gothic" w:cs="Arial"/>
              </w:rPr>
              <w:t>review</w:t>
            </w:r>
            <w:proofErr w:type="gramEnd"/>
            <w:r w:rsidRPr="00D61E32">
              <w:rPr>
                <w:rFonts w:ascii="Century Gothic" w:eastAsia="Calibri" w:hAnsi="Century Gothic" w:cs="Arial"/>
              </w:rPr>
              <w:t xml:space="preserve"> and retrospective review for medical necessity denials.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services denials are significantly higher than medical necessity denials of MH/SUD services. </w:t>
            </w:r>
          </w:p>
          <w:p w14:paraId="18D81AF0" w14:textId="77777777" w:rsidR="006F74BE" w:rsidRPr="00D61E32" w:rsidRDefault="006F74BE" w:rsidP="006F74BE">
            <w:pPr>
              <w:spacing w:after="0" w:line="240" w:lineRule="auto"/>
              <w:rPr>
                <w:rFonts w:ascii="Century Gothic" w:eastAsia="Times New Roman" w:hAnsi="Century Gothic" w:cs="Arial"/>
              </w:rPr>
            </w:pPr>
            <w:r w:rsidRPr="00D61E32">
              <w:rPr>
                <w:rFonts w:ascii="Century Gothic" w:eastAsia="Times New Roman" w:hAnsi="Century Gothic" w:cs="Arial"/>
                <w:b/>
                <w:bCs/>
                <w:u w:val="single"/>
              </w:rPr>
              <w:t>Findings and Conclusions:</w:t>
            </w:r>
            <w:r w:rsidRPr="00D61E32">
              <w:rPr>
                <w:rFonts w:ascii="Century Gothic" w:eastAsia="Times New Roman" w:hAnsi="Century Gothic" w:cs="Arial"/>
              </w:rPr>
              <w:t xml:space="preserve"> </w:t>
            </w:r>
            <w:r w:rsidRPr="00D61E32">
              <w:rPr>
                <w:rFonts w:ascii="Century Gothic" w:eastAsia="Arial" w:hAnsi="Century Gothic" w:cs="Arial"/>
              </w:rPr>
              <w:t>Wellfleet has determined that Medical Necessity Criteria Development is applied for MH/SUD benefits in a manner that is comparable to and no more stringent than that of M/S services, both as written and in operation, based on the information presented above that describes in detail the evidentiary standards, processes, strategies, and factors used to impose Medical Necessity Criteria Development.</w:t>
            </w:r>
          </w:p>
          <w:p w14:paraId="358E1D43" w14:textId="77777777" w:rsidR="006F74BE" w:rsidRPr="00D61E32" w:rsidRDefault="006F74BE" w:rsidP="006F74BE">
            <w:pPr>
              <w:spacing w:after="0" w:line="240" w:lineRule="auto"/>
              <w:rPr>
                <w:rFonts w:ascii="Century Gothic" w:eastAsia="Times New Roman" w:hAnsi="Century Gothic" w:cs="Arial"/>
              </w:rPr>
            </w:pPr>
          </w:p>
        </w:tc>
        <w:bookmarkEnd w:id="0"/>
      </w:tr>
    </w:tbl>
    <w:p w14:paraId="26265C04" w14:textId="77777777" w:rsidR="006F74BE" w:rsidRDefault="006F74BE" w:rsidP="00C87444">
      <w:pPr>
        <w:pStyle w:val="ListParagraph"/>
        <w:ind w:left="0"/>
        <w:rPr>
          <w:rFonts w:ascii="Century Gothic" w:hAnsi="Century Gothic"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D53FD" w14:paraId="19BB3EB4" w14:textId="77777777" w:rsidTr="00AD53FD">
        <w:trPr>
          <w:trHeight w:val="685"/>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D76144" w14:textId="77777777" w:rsidR="00AD53FD" w:rsidRDefault="00AD53FD">
            <w:pPr>
              <w:rPr>
                <w:rFonts w:ascii="Arial" w:eastAsia="Times New Roman" w:hAnsi="Arial" w:cs="Arial"/>
                <w:b/>
                <w:bCs/>
                <w:sz w:val="44"/>
                <w:szCs w:val="44"/>
              </w:rPr>
            </w:pPr>
            <w:r>
              <w:rPr>
                <w:rFonts w:ascii="Arial" w:eastAsia="Times New Roman" w:hAnsi="Arial" w:cs="Arial"/>
                <w:b/>
                <w:bCs/>
                <w:sz w:val="36"/>
                <w:szCs w:val="44"/>
              </w:rPr>
              <w:t>NQTL: Medical Necessity Criteria Development</w:t>
            </w:r>
          </w:p>
        </w:tc>
      </w:tr>
      <w:tr w:rsidR="00AD53FD" w14:paraId="10F188EA" w14:textId="77777777" w:rsidTr="00AD53FD">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1406E" w14:textId="77777777" w:rsidR="00AD53FD" w:rsidRDefault="00AD53FD">
            <w:pPr>
              <w:rPr>
                <w:rFonts w:ascii="Arial" w:eastAsia="Times New Roman" w:hAnsi="Arial" w:cs="Arial"/>
                <w:b/>
                <w:bCs/>
                <w:sz w:val="28"/>
                <w:szCs w:val="36"/>
              </w:rPr>
            </w:pPr>
            <w:r>
              <w:rPr>
                <w:rFonts w:ascii="Arial" w:eastAsia="Times New Roman" w:hAnsi="Arial" w:cs="Arial"/>
                <w:b/>
                <w:bCs/>
                <w:sz w:val="28"/>
                <w:szCs w:val="36"/>
              </w:rPr>
              <w:t xml:space="preserve">Classification(s):  Prescription Drugs  </w:t>
            </w:r>
          </w:p>
        </w:tc>
      </w:tr>
      <w:tr w:rsidR="00AD53FD" w14:paraId="2CBF5EA3" w14:textId="77777777" w:rsidTr="00AD53FD">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E4164" w14:textId="77777777" w:rsidR="00AD53FD" w:rsidRDefault="00AD53FD">
            <w:pPr>
              <w:rPr>
                <w:rFonts w:ascii="Arial" w:eastAsia="Times New Roman" w:hAnsi="Arial" w:cs="Arial"/>
                <w:b/>
                <w:bCs/>
              </w:rPr>
            </w:pPr>
            <w:r>
              <w:rPr>
                <w:rFonts w:ascii="Arial" w:eastAsia="Times New Roman" w:hAnsi="Arial" w:cs="Arial"/>
                <w:b/>
                <w:bCs/>
              </w:rPr>
              <w:t>Step 1 – Identify the specific plan or coverage terms or other relevant terms regarding Medical Necessity Criteria Development and a description of all mental health or substance use disorder and medical or surgical benefits to which each such term applies in each respective benefits classification</w:t>
            </w:r>
          </w:p>
        </w:tc>
      </w:tr>
      <w:tr w:rsidR="00AD53FD" w14:paraId="370CEFDF" w14:textId="77777777" w:rsidTr="00AD53FD">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449E6DBA" w14:textId="77777777" w:rsidR="00AD53FD" w:rsidRPr="00540F00" w:rsidRDefault="00AD53FD">
            <w:pPr>
              <w:rPr>
                <w:rFonts w:ascii="Century Gothic" w:eastAsia="Times New Roman" w:hAnsi="Century Gothic" w:cs="Arial"/>
                <w:bCs/>
              </w:rPr>
            </w:pPr>
            <w:r w:rsidRPr="00540F00">
              <w:rPr>
                <w:rFonts w:ascii="Century Gothic" w:eastAsia="Times New Roman" w:hAnsi="Century Gothic" w:cs="Arial"/>
                <w:b/>
                <w:bCs/>
                <w:i/>
              </w:rPr>
              <w:t>Step 1(a): Provide a clear description of the specific NQTL, plan terms, and policies at issue</w:t>
            </w:r>
            <w:r w:rsidRPr="00540F00">
              <w:rPr>
                <w:rFonts w:ascii="Century Gothic" w:eastAsia="Times New Roman" w:hAnsi="Century Gothic" w:cs="Arial"/>
                <w:bCs/>
              </w:rPr>
              <w:t>:</w:t>
            </w:r>
            <w:r w:rsidRPr="00540F00">
              <w:rPr>
                <w:rStyle w:val="FootnoteReference"/>
                <w:rFonts w:ascii="Century Gothic" w:eastAsia="Times New Roman" w:hAnsi="Century Gothic" w:cs="Arial"/>
                <w:bCs/>
              </w:rPr>
              <w:footnoteReference w:id="9"/>
            </w:r>
            <w:r w:rsidRPr="00540F00">
              <w:rPr>
                <w:rFonts w:ascii="Century Gothic" w:eastAsia="Times New Roman" w:hAnsi="Century Gothic" w:cs="Arial"/>
                <w:bCs/>
              </w:rPr>
              <w:t xml:space="preserve"> </w:t>
            </w:r>
          </w:p>
          <w:p w14:paraId="30A73BE2"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“Medical Necessity Criteria” is defined as guidelines utilized that ensure the clinical appropriateness of a prescription drug. </w:t>
            </w:r>
            <w:r w:rsidRPr="00540F00">
              <w:rPr>
                <w:rFonts w:ascii="Century Gothic" w:hAnsi="Century Gothic" w:cs="Arial"/>
              </w:rPr>
              <w:t>Medical Necessity Criteria applies to M/S and MH/SUD prescription drugs that require prior authorization. Wellfleet imposes prior authorization requirements on certain M/S and MH/SUD drugs to ensure that members receive clinically appropriate and medically necessary medications.</w:t>
            </w:r>
          </w:p>
          <w:p w14:paraId="17F38B74"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Medically Necessary/Medical Necessity: Medically Necessary or Medical Necessity means health care services that a Physician, exercising prudent clinical judgment, would provide for the purpose of preventing, evaluating, </w:t>
            </w:r>
            <w:proofErr w:type="gramStart"/>
            <w:r w:rsidRPr="00540F00">
              <w:rPr>
                <w:rFonts w:ascii="Century Gothic" w:eastAsia="Times New Roman" w:hAnsi="Century Gothic" w:cs="Arial"/>
              </w:rPr>
              <w:t>diagnosing</w:t>
            </w:r>
            <w:proofErr w:type="gramEnd"/>
            <w:r w:rsidRPr="00540F00">
              <w:rPr>
                <w:rFonts w:ascii="Century Gothic" w:eastAsia="Times New Roman" w:hAnsi="Century Gothic" w:cs="Arial"/>
              </w:rPr>
              <w:t xml:space="preserve"> or treating an illness, injury, disease or its symptoms, and that are: </w:t>
            </w:r>
          </w:p>
          <w:p w14:paraId="3BE7D001"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1. In accordance with generally accepted standards of medical </w:t>
            </w:r>
            <w:proofErr w:type="gramStart"/>
            <w:r w:rsidRPr="00540F00">
              <w:rPr>
                <w:rFonts w:ascii="Century Gothic" w:eastAsia="Times New Roman" w:hAnsi="Century Gothic" w:cs="Arial"/>
              </w:rPr>
              <w:t>practice;</w:t>
            </w:r>
            <w:proofErr w:type="gramEnd"/>
            <w:r w:rsidRPr="00540F00">
              <w:rPr>
                <w:rFonts w:ascii="Century Gothic" w:eastAsia="Times New Roman" w:hAnsi="Century Gothic" w:cs="Arial"/>
              </w:rPr>
              <w:t xml:space="preserve"> </w:t>
            </w:r>
          </w:p>
          <w:p w14:paraId="47238603"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2. Clinically appropriate, in terms of type, frequency, extent, site and duration and considered effective for an illness, injury or disease; and </w:t>
            </w:r>
          </w:p>
          <w:p w14:paraId="38D8FE27"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3. Not primarily for the convenience of an Insured Person, </w:t>
            </w:r>
            <w:proofErr w:type="gramStart"/>
            <w:r w:rsidRPr="00540F00">
              <w:rPr>
                <w:rFonts w:ascii="Century Gothic" w:eastAsia="Times New Roman" w:hAnsi="Century Gothic" w:cs="Arial"/>
              </w:rPr>
              <w:t>Physician</w:t>
            </w:r>
            <w:proofErr w:type="gramEnd"/>
            <w:r w:rsidRPr="00540F00">
              <w:rPr>
                <w:rFonts w:ascii="Century Gothic" w:eastAsia="Times New Roman" w:hAnsi="Century Gothic" w:cs="Arial"/>
              </w:rPr>
              <w:t xml:space="preserve"> or other health care provider and not more costly than an alternative service or sequence of services at least as likely to produce equivalent therapeutic or diagnostic results as to the diagnosis or Treatment of an Insured Person’s illness, injury or disease. </w:t>
            </w:r>
          </w:p>
          <w:p w14:paraId="0CD9110B"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The fact that any </w:t>
            </w:r>
            <w:proofErr w:type="gramStart"/>
            <w:r w:rsidRPr="00540F00">
              <w:rPr>
                <w:rFonts w:ascii="Century Gothic" w:eastAsia="Times New Roman" w:hAnsi="Century Gothic" w:cs="Arial"/>
              </w:rPr>
              <w:t>particular Physician</w:t>
            </w:r>
            <w:proofErr w:type="gramEnd"/>
            <w:r w:rsidRPr="00540F00">
              <w:rPr>
                <w:rFonts w:ascii="Century Gothic" w:eastAsia="Times New Roman" w:hAnsi="Century Gothic" w:cs="Arial"/>
              </w:rPr>
              <w:t xml:space="preserve"> may prescribe, order, recommend or approve a service or supply does not, of itself, make the service or supply Medically Necessary.</w:t>
            </w:r>
          </w:p>
          <w:p w14:paraId="7B744877" w14:textId="32C70855" w:rsidR="00AD53FD" w:rsidRPr="00540F00" w:rsidRDefault="00AD53FD" w:rsidP="00AD53FD">
            <w:pPr>
              <w:rPr>
                <w:rFonts w:ascii="Century Gothic" w:eastAsia="Times New Roman" w:hAnsi="Century Gothic" w:cs="Arial"/>
              </w:rPr>
            </w:pPr>
            <w:r w:rsidRPr="00540F00">
              <w:rPr>
                <w:rFonts w:ascii="Century Gothic" w:eastAsia="Times New Roman" w:hAnsi="Century Gothic" w:cs="Arial"/>
              </w:rPr>
              <w:t>In the Wellfleet Formulary Management Policy, it states “Medical Necessity Criteria: Guidelines utilized that ensure the clinical appropriateness of a prescription drug. Also referred to as ‘UM Guidelines’.”</w:t>
            </w:r>
          </w:p>
        </w:tc>
      </w:tr>
      <w:tr w:rsidR="00AD53FD" w14:paraId="56027AE2" w14:textId="77777777" w:rsidTr="00AD53FD">
        <w:trPr>
          <w:trHeight w:val="1385"/>
        </w:trPr>
        <w:tc>
          <w:tcPr>
            <w:tcW w:w="2500" w:type="pct"/>
            <w:tcBorders>
              <w:top w:val="single" w:sz="4" w:space="0" w:color="auto"/>
              <w:left w:val="single" w:sz="4" w:space="0" w:color="auto"/>
              <w:bottom w:val="single" w:sz="4" w:space="0" w:color="auto"/>
              <w:right w:val="single" w:sz="4" w:space="0" w:color="auto"/>
            </w:tcBorders>
          </w:tcPr>
          <w:p w14:paraId="2D8205DA" w14:textId="4A7F6A65" w:rsidR="00AD53FD" w:rsidRPr="00540F00" w:rsidRDefault="00AD53FD">
            <w:pPr>
              <w:rPr>
                <w:rFonts w:ascii="Century Gothic" w:eastAsia="Times New Roman" w:hAnsi="Century Gothic" w:cs="Arial"/>
                <w:b/>
                <w:i/>
              </w:rPr>
            </w:pPr>
            <w:r w:rsidRPr="00540F00">
              <w:rPr>
                <w:rFonts w:ascii="Century Gothic" w:eastAsia="Times New Roman" w:hAnsi="Century Gothic" w:cs="Arial"/>
                <w:b/>
                <w:i/>
              </w:rPr>
              <w:t>Step 1(b): Identify the M/S benefits/services for which Medical Necessity Criteria Development is required:</w:t>
            </w:r>
            <w:r w:rsidRPr="00540F00">
              <w:rPr>
                <w:rStyle w:val="FootnoteReference"/>
                <w:rFonts w:ascii="Century Gothic" w:eastAsia="Times New Roman" w:hAnsi="Century Gothic" w:cs="Arial"/>
                <w:b/>
                <w:i/>
              </w:rPr>
              <w:footnoteReference w:id="10"/>
            </w:r>
          </w:p>
          <w:p w14:paraId="4616C5F1" w14:textId="0725C790" w:rsidR="00AD53FD" w:rsidRPr="00540F00" w:rsidRDefault="00AD53FD">
            <w:pPr>
              <w:rPr>
                <w:rFonts w:ascii="Century Gothic" w:eastAsia="Times New Roman" w:hAnsi="Century Gothic" w:cs="Arial"/>
              </w:rPr>
            </w:pPr>
            <w:r w:rsidRPr="00540F00">
              <w:rPr>
                <w:rFonts w:ascii="Century Gothic" w:eastAsia="Times New Roman" w:hAnsi="Century Gothic" w:cs="Arial"/>
              </w:rPr>
              <w:t>All benefits and services requiring Prior Authorization</w:t>
            </w:r>
          </w:p>
        </w:tc>
        <w:tc>
          <w:tcPr>
            <w:tcW w:w="2500" w:type="pct"/>
            <w:tcBorders>
              <w:top w:val="single" w:sz="4" w:space="0" w:color="auto"/>
              <w:left w:val="single" w:sz="4" w:space="0" w:color="auto"/>
              <w:bottom w:val="single" w:sz="4" w:space="0" w:color="auto"/>
              <w:right w:val="single" w:sz="4" w:space="0" w:color="auto"/>
            </w:tcBorders>
          </w:tcPr>
          <w:p w14:paraId="23EE055C" w14:textId="408FDE1F" w:rsidR="00AD53FD" w:rsidRPr="00540F00" w:rsidRDefault="00AD53FD">
            <w:pPr>
              <w:rPr>
                <w:rFonts w:ascii="Century Gothic" w:eastAsia="Times New Roman" w:hAnsi="Century Gothic" w:cs="Arial"/>
              </w:rPr>
            </w:pPr>
            <w:r w:rsidRPr="00540F00">
              <w:rPr>
                <w:rFonts w:ascii="Century Gothic" w:eastAsia="Times New Roman" w:hAnsi="Century Gothic" w:cs="Arial"/>
                <w:b/>
                <w:i/>
              </w:rPr>
              <w:t>Step 1(b): Identify the MH/SUD benefits/services for which Medical Necessity Criteria Development is required</w:t>
            </w:r>
            <w:r w:rsidRPr="00540F00">
              <w:rPr>
                <w:rFonts w:ascii="Century Gothic" w:eastAsia="Times New Roman" w:hAnsi="Century Gothic" w:cs="Arial"/>
              </w:rPr>
              <w:t>:</w:t>
            </w:r>
            <w:r w:rsidRPr="00540F00">
              <w:rPr>
                <w:rStyle w:val="FootnoteReference"/>
                <w:rFonts w:ascii="Century Gothic" w:eastAsia="Times New Roman" w:hAnsi="Century Gothic" w:cs="Arial"/>
              </w:rPr>
              <w:footnoteReference w:id="11"/>
            </w:r>
          </w:p>
          <w:p w14:paraId="72C6F719" w14:textId="2D148457" w:rsidR="00AD53FD" w:rsidRPr="00540F00" w:rsidRDefault="00AD53FD">
            <w:pPr>
              <w:rPr>
                <w:rFonts w:ascii="Century Gothic" w:eastAsia="Times New Roman" w:hAnsi="Century Gothic" w:cs="Arial"/>
              </w:rPr>
            </w:pPr>
            <w:r w:rsidRPr="00540F00">
              <w:rPr>
                <w:rFonts w:ascii="Century Gothic" w:eastAsia="Times New Roman" w:hAnsi="Century Gothic" w:cs="Arial"/>
              </w:rPr>
              <w:t>All benefits and services requiring Prior Authorization</w:t>
            </w:r>
          </w:p>
        </w:tc>
      </w:tr>
      <w:tr w:rsidR="00AD53FD" w14:paraId="4DBBA430" w14:textId="77777777" w:rsidTr="00AD53FD">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1133C" w14:textId="77777777" w:rsidR="00AD53FD" w:rsidRPr="00540F00" w:rsidRDefault="00AD53FD">
            <w:pPr>
              <w:rPr>
                <w:rFonts w:ascii="Century Gothic" w:eastAsia="Times New Roman" w:hAnsi="Century Gothic" w:cs="Arial"/>
                <w:b/>
                <w:bCs/>
              </w:rPr>
            </w:pPr>
            <w:r w:rsidRPr="00540F00">
              <w:rPr>
                <w:rFonts w:ascii="Century Gothic" w:eastAsia="Times New Roman" w:hAnsi="Century Gothic" w:cs="Arial"/>
                <w:b/>
                <w:bCs/>
              </w:rPr>
              <w:t>Step 2 – Identify the factors used to determine that Medical Necessity Criteria Development will apply to mental health or substance use disorder benefits and medical or surgical benefits</w:t>
            </w:r>
            <w:r w:rsidRPr="00540F00">
              <w:rPr>
                <w:rStyle w:val="FootnoteReference"/>
                <w:rFonts w:ascii="Century Gothic" w:eastAsia="Times New Roman" w:hAnsi="Century Gothic" w:cs="Arial"/>
                <w:b/>
                <w:bCs/>
              </w:rPr>
              <w:footnoteReference w:id="12"/>
            </w:r>
          </w:p>
        </w:tc>
      </w:tr>
      <w:tr w:rsidR="00AD53FD" w14:paraId="04FD5EA6" w14:textId="77777777" w:rsidTr="00AD53FD">
        <w:trPr>
          <w:trHeight w:val="368"/>
        </w:trPr>
        <w:tc>
          <w:tcPr>
            <w:tcW w:w="2500" w:type="pct"/>
            <w:tcBorders>
              <w:top w:val="single" w:sz="4" w:space="0" w:color="auto"/>
              <w:left w:val="single" w:sz="4" w:space="0" w:color="auto"/>
              <w:bottom w:val="single" w:sz="4" w:space="0" w:color="auto"/>
              <w:right w:val="single" w:sz="4" w:space="0" w:color="auto"/>
            </w:tcBorders>
          </w:tcPr>
          <w:p w14:paraId="55808E73" w14:textId="4F659D81" w:rsidR="00AD53FD" w:rsidRPr="00540F00" w:rsidRDefault="00AD53FD">
            <w:pPr>
              <w:rPr>
                <w:rFonts w:ascii="Century Gothic" w:eastAsia="Times New Roman" w:hAnsi="Century Gothic" w:cs="Arial"/>
              </w:rPr>
            </w:pPr>
            <w:r w:rsidRPr="00540F00">
              <w:rPr>
                <w:rFonts w:ascii="Century Gothic" w:eastAsia="Times New Roman" w:hAnsi="Century Gothic" w:cs="Arial"/>
                <w:b/>
              </w:rPr>
              <w:t>Medical/Surgical</w:t>
            </w:r>
            <w:r w:rsidRPr="00540F00">
              <w:rPr>
                <w:rFonts w:ascii="Century Gothic" w:eastAsia="Times New Roman" w:hAnsi="Century Gothic" w:cs="Arial"/>
              </w:rPr>
              <w:t>:</w:t>
            </w:r>
          </w:p>
          <w:p w14:paraId="3FE5B535"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Wellfleet applies the following factors to determine whether to develop or adopt a medical necessity policy:</w:t>
            </w:r>
          </w:p>
          <w:p w14:paraId="6A658D84" w14:textId="77777777" w:rsidR="00AD53FD" w:rsidRPr="00540F00" w:rsidRDefault="00AD53FD" w:rsidP="00AD53FD">
            <w:pPr>
              <w:pStyle w:val="ListParagraph"/>
              <w:numPr>
                <w:ilvl w:val="0"/>
                <w:numId w:val="60"/>
              </w:numPr>
              <w:spacing w:after="0" w:line="240" w:lineRule="auto"/>
              <w:rPr>
                <w:rFonts w:ascii="Century Gothic" w:eastAsia="Times New Roman" w:hAnsi="Century Gothic" w:cs="Arial"/>
              </w:rPr>
            </w:pPr>
            <w:r w:rsidRPr="00540F00">
              <w:rPr>
                <w:rFonts w:ascii="Century Gothic" w:eastAsia="Times New Roman" w:hAnsi="Century Gothic" w:cs="Arial"/>
              </w:rPr>
              <w:t>Lack of adherence to quality standards</w:t>
            </w:r>
          </w:p>
          <w:p w14:paraId="54F2E3EF" w14:textId="77777777" w:rsidR="00AD53FD" w:rsidRPr="00540F00" w:rsidRDefault="00AD53FD" w:rsidP="00AD53FD">
            <w:pPr>
              <w:pStyle w:val="ListParagraph"/>
              <w:numPr>
                <w:ilvl w:val="0"/>
                <w:numId w:val="6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High variability in cost within drugs in a given therapeutic </w:t>
            </w:r>
            <w:proofErr w:type="gramStart"/>
            <w:r w:rsidRPr="00540F00">
              <w:rPr>
                <w:rFonts w:ascii="Century Gothic" w:eastAsia="Times New Roman" w:hAnsi="Century Gothic" w:cs="Arial"/>
              </w:rPr>
              <w:t>class</w:t>
            </w:r>
            <w:proofErr w:type="gramEnd"/>
          </w:p>
          <w:p w14:paraId="160DABED" w14:textId="2AE4E2A1" w:rsidR="00AD53FD" w:rsidRPr="00540F00" w:rsidRDefault="00AD53FD" w:rsidP="00AD53FD">
            <w:pPr>
              <w:pStyle w:val="ListParagraph"/>
              <w:numPr>
                <w:ilvl w:val="0"/>
                <w:numId w:val="6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Anticipated excessive </w:t>
            </w:r>
            <w:proofErr w:type="gramStart"/>
            <w:r w:rsidRPr="00540F00">
              <w:rPr>
                <w:rFonts w:ascii="Century Gothic" w:eastAsia="Times New Roman" w:hAnsi="Century Gothic" w:cs="Arial"/>
              </w:rPr>
              <w:t>utilization</w:t>
            </w:r>
            <w:proofErr w:type="gramEnd"/>
          </w:p>
          <w:p w14:paraId="2589524E"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Wellfleet uses the following sources of guidelines for its medical necessity criteria:  </w:t>
            </w:r>
          </w:p>
          <w:p w14:paraId="20273E73" w14:textId="77777777" w:rsidR="00AD53FD" w:rsidRPr="00540F00" w:rsidRDefault="00AD53FD" w:rsidP="00AD53FD">
            <w:pPr>
              <w:pStyle w:val="ListParagraph"/>
              <w:numPr>
                <w:ilvl w:val="0"/>
                <w:numId w:val="61"/>
              </w:numPr>
              <w:spacing w:after="0" w:line="240" w:lineRule="auto"/>
              <w:rPr>
                <w:rFonts w:ascii="Century Gothic" w:eastAsia="Times New Roman" w:hAnsi="Century Gothic" w:cs="Arial"/>
              </w:rPr>
            </w:pPr>
            <w:r w:rsidRPr="00540F00">
              <w:rPr>
                <w:rFonts w:ascii="Century Gothic" w:eastAsia="Times New Roman" w:hAnsi="Century Gothic" w:cs="Arial"/>
              </w:rPr>
              <w:t>FDA Prescribing Information</w:t>
            </w:r>
          </w:p>
          <w:p w14:paraId="1C937987" w14:textId="77777777" w:rsidR="00AD53FD" w:rsidRPr="00540F00" w:rsidRDefault="00AD53FD" w:rsidP="00AD53FD">
            <w:pPr>
              <w:pStyle w:val="ListParagraph"/>
              <w:numPr>
                <w:ilvl w:val="0"/>
                <w:numId w:val="61"/>
              </w:numPr>
              <w:spacing w:after="0" w:line="240" w:lineRule="auto"/>
              <w:rPr>
                <w:rFonts w:ascii="Century Gothic" w:eastAsia="Times New Roman" w:hAnsi="Century Gothic" w:cs="Arial"/>
              </w:rPr>
            </w:pPr>
            <w:r w:rsidRPr="00540F00">
              <w:rPr>
                <w:rFonts w:ascii="Century Gothic" w:eastAsia="Times New Roman" w:hAnsi="Century Gothic" w:cs="Arial"/>
              </w:rPr>
              <w:t>Professionally recognized treatment guidelines</w:t>
            </w:r>
          </w:p>
          <w:p w14:paraId="60A9E8E9" w14:textId="77777777" w:rsidR="00AD53FD" w:rsidRPr="00540F00" w:rsidRDefault="00AD53FD" w:rsidP="00AD53FD">
            <w:pPr>
              <w:pStyle w:val="ListParagraph"/>
              <w:numPr>
                <w:ilvl w:val="0"/>
                <w:numId w:val="61"/>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Nationally recognized Compendia – such as Truven Health Analytics Micromedex </w:t>
            </w:r>
            <w:proofErr w:type="spellStart"/>
            <w:r w:rsidRPr="00540F00">
              <w:rPr>
                <w:rFonts w:ascii="Century Gothic" w:eastAsia="Times New Roman" w:hAnsi="Century Gothic" w:cs="Arial"/>
              </w:rPr>
              <w:t>DrugDEX</w:t>
            </w:r>
            <w:proofErr w:type="spellEnd"/>
          </w:p>
          <w:p w14:paraId="4333CEC6" w14:textId="4798FC6D" w:rsidR="00AD53FD" w:rsidRPr="00540F00" w:rsidRDefault="00AD53FD" w:rsidP="00AD53FD">
            <w:pPr>
              <w:pStyle w:val="ListParagraph"/>
              <w:numPr>
                <w:ilvl w:val="0"/>
                <w:numId w:val="61"/>
              </w:numPr>
              <w:spacing w:after="0" w:line="240" w:lineRule="auto"/>
              <w:rPr>
                <w:rFonts w:ascii="Century Gothic" w:eastAsia="Times New Roman" w:hAnsi="Century Gothic" w:cs="Arial"/>
              </w:rPr>
            </w:pPr>
            <w:r w:rsidRPr="00540F00">
              <w:rPr>
                <w:rFonts w:ascii="Century Gothic" w:eastAsia="Times New Roman" w:hAnsi="Century Gothic" w:cs="Arial"/>
              </w:rPr>
              <w:t>Peer Reviewed medical literature</w:t>
            </w:r>
          </w:p>
        </w:tc>
        <w:tc>
          <w:tcPr>
            <w:tcW w:w="2500" w:type="pct"/>
            <w:tcBorders>
              <w:top w:val="single" w:sz="4" w:space="0" w:color="auto"/>
              <w:left w:val="single" w:sz="4" w:space="0" w:color="auto"/>
              <w:bottom w:val="single" w:sz="4" w:space="0" w:color="auto"/>
              <w:right w:val="single" w:sz="4" w:space="0" w:color="auto"/>
            </w:tcBorders>
          </w:tcPr>
          <w:p w14:paraId="00B2887F" w14:textId="08582E91" w:rsidR="00AD53FD" w:rsidRPr="00540F00" w:rsidRDefault="00AD53FD">
            <w:pPr>
              <w:rPr>
                <w:rFonts w:ascii="Century Gothic" w:eastAsia="Times New Roman" w:hAnsi="Century Gothic" w:cs="Arial"/>
              </w:rPr>
            </w:pPr>
            <w:r w:rsidRPr="00540F00">
              <w:rPr>
                <w:rFonts w:ascii="Century Gothic" w:eastAsia="Times New Roman" w:hAnsi="Century Gothic" w:cs="Arial"/>
                <w:b/>
              </w:rPr>
              <w:t>MH/SUD</w:t>
            </w:r>
            <w:r w:rsidRPr="00540F00">
              <w:rPr>
                <w:rFonts w:ascii="Century Gothic" w:eastAsia="Times New Roman" w:hAnsi="Century Gothic" w:cs="Arial"/>
              </w:rPr>
              <w:t>:</w:t>
            </w:r>
          </w:p>
          <w:p w14:paraId="5C2B2E67"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Wellfleet applies the following factors to determine whether to develop or adopt a medical necessity policy:</w:t>
            </w:r>
          </w:p>
          <w:p w14:paraId="7F9FFD15" w14:textId="77777777" w:rsidR="00AD53FD" w:rsidRPr="00540F00" w:rsidRDefault="00AD53FD">
            <w:pPr>
              <w:rPr>
                <w:rFonts w:ascii="Century Gothic" w:eastAsia="Times New Roman" w:hAnsi="Century Gothic" w:cs="Arial"/>
              </w:rPr>
            </w:pPr>
          </w:p>
          <w:p w14:paraId="37BD07DD"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Same as M/S </w:t>
            </w:r>
          </w:p>
          <w:p w14:paraId="5794BB05" w14:textId="77777777" w:rsidR="00AD53FD" w:rsidRPr="00540F00" w:rsidRDefault="00AD53FD">
            <w:pPr>
              <w:rPr>
                <w:rFonts w:ascii="Century Gothic" w:eastAsia="Times New Roman" w:hAnsi="Century Gothic" w:cs="Arial"/>
              </w:rPr>
            </w:pPr>
          </w:p>
          <w:p w14:paraId="7FD79EAE"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Wellfleet uses the following sources of guidelines for its medical necessity criteria:  </w:t>
            </w:r>
          </w:p>
          <w:p w14:paraId="0DEF80AF" w14:textId="77777777" w:rsidR="00AD53FD" w:rsidRPr="00540F00" w:rsidRDefault="00AD53FD" w:rsidP="00AD53FD">
            <w:pPr>
              <w:pStyle w:val="ListParagraph"/>
              <w:numPr>
                <w:ilvl w:val="0"/>
                <w:numId w:val="61"/>
              </w:numPr>
              <w:spacing w:after="0" w:line="240" w:lineRule="auto"/>
              <w:rPr>
                <w:rFonts w:ascii="Century Gothic" w:eastAsia="Times New Roman" w:hAnsi="Century Gothic" w:cs="Arial"/>
              </w:rPr>
            </w:pPr>
            <w:r w:rsidRPr="00540F00">
              <w:rPr>
                <w:rFonts w:ascii="Century Gothic" w:eastAsia="Times New Roman" w:hAnsi="Century Gothic" w:cs="Arial"/>
              </w:rPr>
              <w:t>FDA Prescribing Information</w:t>
            </w:r>
          </w:p>
          <w:p w14:paraId="38287CA3" w14:textId="77777777" w:rsidR="00AD53FD" w:rsidRPr="00540F00" w:rsidRDefault="00AD53FD" w:rsidP="00AD53FD">
            <w:pPr>
              <w:pStyle w:val="ListParagraph"/>
              <w:numPr>
                <w:ilvl w:val="0"/>
                <w:numId w:val="61"/>
              </w:numPr>
              <w:spacing w:after="0" w:line="240" w:lineRule="auto"/>
              <w:rPr>
                <w:rFonts w:ascii="Century Gothic" w:eastAsia="Times New Roman" w:hAnsi="Century Gothic" w:cs="Arial"/>
              </w:rPr>
            </w:pPr>
            <w:r w:rsidRPr="00540F00">
              <w:rPr>
                <w:rFonts w:ascii="Century Gothic" w:eastAsia="Times New Roman" w:hAnsi="Century Gothic" w:cs="Arial"/>
              </w:rPr>
              <w:t>Professionally recognized treatment guidelines, such as ASAM or APA criteria</w:t>
            </w:r>
          </w:p>
          <w:p w14:paraId="04424280" w14:textId="77777777" w:rsidR="00AD53FD" w:rsidRPr="00540F00" w:rsidRDefault="00AD53FD" w:rsidP="00AD53FD">
            <w:pPr>
              <w:pStyle w:val="ListParagraph"/>
              <w:numPr>
                <w:ilvl w:val="0"/>
                <w:numId w:val="61"/>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Nationally recognized Compendia – such as Truven Health Analytics Micromedex </w:t>
            </w:r>
            <w:proofErr w:type="spellStart"/>
            <w:r w:rsidRPr="00540F00">
              <w:rPr>
                <w:rFonts w:ascii="Century Gothic" w:eastAsia="Times New Roman" w:hAnsi="Century Gothic" w:cs="Arial"/>
              </w:rPr>
              <w:t>DrugDEX</w:t>
            </w:r>
            <w:proofErr w:type="spellEnd"/>
          </w:p>
          <w:p w14:paraId="49CAD294" w14:textId="59C1B81A" w:rsidR="00AD53FD" w:rsidRPr="00540F00" w:rsidRDefault="00AD53FD" w:rsidP="00AD53FD">
            <w:pPr>
              <w:pStyle w:val="ListParagraph"/>
              <w:numPr>
                <w:ilvl w:val="0"/>
                <w:numId w:val="61"/>
              </w:numPr>
              <w:spacing w:after="0" w:line="240" w:lineRule="auto"/>
              <w:rPr>
                <w:rFonts w:ascii="Century Gothic" w:eastAsia="Times New Roman" w:hAnsi="Century Gothic" w:cs="Arial"/>
              </w:rPr>
            </w:pPr>
            <w:r w:rsidRPr="00540F00">
              <w:rPr>
                <w:rFonts w:ascii="Century Gothic" w:eastAsia="Times New Roman" w:hAnsi="Century Gothic" w:cs="Arial"/>
              </w:rPr>
              <w:t>Peer Reviewed medical literatur</w:t>
            </w:r>
            <w:r w:rsidRPr="00540F00">
              <w:rPr>
                <w:rFonts w:ascii="Century Gothic" w:eastAsia="Times New Roman" w:hAnsi="Century Gothic" w:cs="Arial"/>
              </w:rPr>
              <w:t>e</w:t>
            </w:r>
          </w:p>
        </w:tc>
      </w:tr>
      <w:tr w:rsidR="00AD53FD" w14:paraId="0B51A2F6" w14:textId="77777777" w:rsidTr="00AD53FD">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4B058" w14:textId="77777777" w:rsidR="00AD53FD" w:rsidRPr="00540F00" w:rsidRDefault="00AD53FD">
            <w:pPr>
              <w:rPr>
                <w:rFonts w:ascii="Century Gothic" w:eastAsia="Times New Roman" w:hAnsi="Century Gothic" w:cs="Arial"/>
                <w:b/>
                <w:bCs/>
              </w:rPr>
            </w:pPr>
            <w:r w:rsidRPr="00540F00">
              <w:rPr>
                <w:rFonts w:ascii="Century Gothic" w:eastAsia="Times New Roman" w:hAnsi="Century Gothic" w:cs="Arial"/>
                <w:b/>
                <w:bCs/>
              </w:rPr>
              <w:t>Step 3 – Identify the evidentiary standards used for the factors identified in Step 2, when applicable, provided that every factor shall be defined, and any other source or evidence relied upon to design and apply Medical Necessity Criteria Development to mental health or substance use disorder benefits and medical or surgical benefits.</w:t>
            </w:r>
          </w:p>
          <w:p w14:paraId="258DCFA0" w14:textId="77777777" w:rsidR="00AD53FD" w:rsidRPr="00540F00" w:rsidRDefault="00AD53FD" w:rsidP="00AD53FD">
            <w:pPr>
              <w:pStyle w:val="ListParagraph"/>
              <w:numPr>
                <w:ilvl w:val="0"/>
                <w:numId w:val="62"/>
              </w:numPr>
              <w:spacing w:after="0" w:line="240" w:lineRule="auto"/>
              <w:rPr>
                <w:rFonts w:ascii="Century Gothic" w:eastAsia="Times New Roman" w:hAnsi="Century Gothic" w:cs="Arial"/>
                <w:bCs/>
                <w:i/>
              </w:rPr>
            </w:pPr>
            <w:r w:rsidRPr="00540F00">
              <w:rPr>
                <w:rFonts w:ascii="Century Gothic" w:eastAsia="Times New Roman" w:hAnsi="Century Gothic" w:cs="Arial"/>
                <w:bCs/>
                <w:i/>
              </w:rPr>
              <w:t>Analyses should explain whether any factors were given more weight than others and the reason(s) for doing so, including an evaluation of any specific data used in the determination.</w:t>
            </w:r>
          </w:p>
          <w:p w14:paraId="4C62F4AE" w14:textId="77777777" w:rsidR="00AD53FD" w:rsidRPr="00540F00" w:rsidRDefault="00AD53FD" w:rsidP="00AD53FD">
            <w:pPr>
              <w:pStyle w:val="ListParagraph"/>
              <w:numPr>
                <w:ilvl w:val="0"/>
                <w:numId w:val="62"/>
              </w:numPr>
              <w:spacing w:after="0" w:line="240" w:lineRule="auto"/>
              <w:rPr>
                <w:rFonts w:ascii="Century Gothic" w:eastAsia="Times New Roman" w:hAnsi="Century Gothic" w:cs="Arial"/>
                <w:bCs/>
                <w:i/>
              </w:rPr>
            </w:pPr>
            <w:r w:rsidRPr="00540F00">
              <w:rPr>
                <w:rFonts w:ascii="Century Gothic" w:eastAsia="Times New Roman" w:hAnsi="Century Gothic" w:cs="Arial"/>
                <w:bCs/>
                <w:i/>
              </w:rPr>
              <w:t>To the extent the plan or issuer defines any of the factors, evidentiary standards, strategies, or processes in a quantitative manner, it must include the precise definitions used and any supporting sources.</w:t>
            </w:r>
            <w:r w:rsidRPr="00540F00">
              <w:rPr>
                <w:rStyle w:val="FootnoteReference"/>
                <w:rFonts w:ascii="Century Gothic" w:eastAsia="Times New Roman" w:hAnsi="Century Gothic" w:cs="Arial"/>
                <w:bCs/>
                <w:i/>
              </w:rPr>
              <w:footnoteReference w:id="13"/>
            </w:r>
          </w:p>
        </w:tc>
      </w:tr>
      <w:tr w:rsidR="00AD53FD" w14:paraId="6949F2E6" w14:textId="77777777" w:rsidTr="00AD53FD">
        <w:trPr>
          <w:trHeight w:val="899"/>
        </w:trPr>
        <w:tc>
          <w:tcPr>
            <w:tcW w:w="2500" w:type="pct"/>
            <w:tcBorders>
              <w:top w:val="single" w:sz="4" w:space="0" w:color="auto"/>
              <w:left w:val="single" w:sz="4" w:space="0" w:color="auto"/>
              <w:bottom w:val="single" w:sz="4" w:space="0" w:color="auto"/>
              <w:right w:val="single" w:sz="4" w:space="0" w:color="auto"/>
            </w:tcBorders>
          </w:tcPr>
          <w:p w14:paraId="55E5727C"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b/>
              </w:rPr>
              <w:t>Medical/Surgical</w:t>
            </w:r>
            <w:r w:rsidRPr="00540F00">
              <w:rPr>
                <w:rFonts w:ascii="Century Gothic" w:eastAsia="Times New Roman" w:hAnsi="Century Gothic" w:cs="Arial"/>
              </w:rPr>
              <w:t>:</w:t>
            </w:r>
          </w:p>
          <w:p w14:paraId="060D1952"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A.</w:t>
            </w:r>
          </w:p>
          <w:p w14:paraId="3F910680" w14:textId="77777777" w:rsidR="00AD53FD" w:rsidRPr="00540F00" w:rsidRDefault="00AD53FD" w:rsidP="00AD53FD">
            <w:pPr>
              <w:pStyle w:val="ListParagraph"/>
              <w:numPr>
                <w:ilvl w:val="0"/>
                <w:numId w:val="50"/>
              </w:numPr>
              <w:spacing w:after="0" w:line="240" w:lineRule="auto"/>
              <w:rPr>
                <w:rFonts w:ascii="Century Gothic" w:eastAsia="Times New Roman" w:hAnsi="Century Gothic" w:cs="Arial"/>
              </w:rPr>
            </w:pPr>
            <w:r w:rsidRPr="00540F00">
              <w:rPr>
                <w:rFonts w:ascii="Century Gothic" w:eastAsia="Times New Roman" w:hAnsi="Century Gothic" w:cs="Arial"/>
              </w:rPr>
              <w:t>Factor 1</w:t>
            </w:r>
            <w:r w:rsidRPr="00540F00">
              <w:rPr>
                <w:rFonts w:ascii="Century Gothic" w:eastAsia="Times New Roman" w:hAnsi="Century Gothic" w:cs="Arial"/>
                <w:bCs/>
              </w:rPr>
              <w:t>: lack of adherence to quality standards – This factor carries more weight due to the safety concerns. Ensuring the safety and wellbeing of our members is of upmost importance.</w:t>
            </w:r>
          </w:p>
          <w:p w14:paraId="39B340AE"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Source: </w:t>
            </w:r>
            <w:r w:rsidRPr="00540F00">
              <w:rPr>
                <w:rFonts w:ascii="Century Gothic" w:hAnsi="Century Gothic" w:cs="Arial"/>
                <w:bCs/>
              </w:rPr>
              <w:t xml:space="preserve"> FDA Prescribing Information, professionally recognized treatment guidelines used to define clinically appropriate standards of care, nationally recognized Compendia - Truven Health Analytics Micromedex </w:t>
            </w:r>
            <w:proofErr w:type="spellStart"/>
            <w:r w:rsidRPr="00540F00">
              <w:rPr>
                <w:rFonts w:ascii="Century Gothic" w:hAnsi="Century Gothic" w:cs="Arial"/>
                <w:bCs/>
              </w:rPr>
              <w:t>DrugDEX</w:t>
            </w:r>
            <w:proofErr w:type="spellEnd"/>
            <w:r w:rsidRPr="00540F00">
              <w:rPr>
                <w:rFonts w:ascii="Century Gothic" w:hAnsi="Century Gothic" w:cs="Arial"/>
                <w:bCs/>
              </w:rPr>
              <w:t xml:space="preserve"> (</w:t>
            </w:r>
            <w:proofErr w:type="spellStart"/>
            <w:r w:rsidRPr="00540F00">
              <w:rPr>
                <w:rFonts w:ascii="Century Gothic" w:hAnsi="Century Gothic" w:cs="Arial"/>
                <w:bCs/>
              </w:rPr>
              <w:t>DrugDEX</w:t>
            </w:r>
            <w:proofErr w:type="spellEnd"/>
            <w:r w:rsidRPr="00540F00">
              <w:rPr>
                <w:rFonts w:ascii="Century Gothic" w:hAnsi="Century Gothic" w:cs="Arial"/>
                <w:bCs/>
              </w:rPr>
              <w:t>), and peer-reviewed medical literature.</w:t>
            </w:r>
          </w:p>
          <w:p w14:paraId="2CC5276F"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Evidentiary Standard: </w:t>
            </w:r>
            <w:r w:rsidRPr="00540F00">
              <w:rPr>
                <w:rFonts w:ascii="Century Gothic" w:eastAsia="Times New Roman" w:hAnsi="Century Gothic" w:cs="Arial"/>
                <w:bCs/>
              </w:rPr>
              <w:t xml:space="preserve">P&amp;T Committee members discuss safety of newly released products to determine if they have potential for unsafe use. Sources listed above are compiled by Wellfleet’s Clinical Pharmacist into New Drug Reviews and Therapeutic Class Reviews. These reviews contain information on indications, dosing &amp; administration, clinical and comparative efficacy, clinical guidelines, contraindications &amp; special populations, etc. These are forwarded to the P&amp;T committee prior to the meetings for their review. Meeting discussions include an analysis </w:t>
            </w:r>
            <w:proofErr w:type="gramStart"/>
            <w:r w:rsidRPr="00540F00">
              <w:rPr>
                <w:rFonts w:ascii="Century Gothic" w:eastAsia="Times New Roman" w:hAnsi="Century Gothic" w:cs="Arial"/>
                <w:bCs/>
              </w:rPr>
              <w:t>of:</w:t>
            </w:r>
            <w:proofErr w:type="gramEnd"/>
            <w:r w:rsidRPr="00540F00">
              <w:rPr>
                <w:rFonts w:ascii="Century Gothic" w:eastAsia="Times New Roman" w:hAnsi="Century Gothic" w:cs="Arial"/>
                <w:bCs/>
              </w:rPr>
              <w:t xml:space="preserve"> appropriate dosing, potential overdose, prescribing by particular specialty provider, adherence or potential non-adherence to guidelines, etc.</w:t>
            </w:r>
          </w:p>
          <w:p w14:paraId="22868719" w14:textId="77777777" w:rsidR="00AD53FD" w:rsidRPr="00540F00" w:rsidRDefault="00AD53FD">
            <w:pPr>
              <w:pStyle w:val="ListParagraph"/>
              <w:ind w:left="1440"/>
              <w:rPr>
                <w:rFonts w:ascii="Century Gothic" w:eastAsia="Times New Roman" w:hAnsi="Century Gothic" w:cs="Arial"/>
              </w:rPr>
            </w:pPr>
          </w:p>
          <w:p w14:paraId="1DF97F49" w14:textId="77777777" w:rsidR="00AD53FD" w:rsidRPr="00540F00" w:rsidRDefault="00AD53FD" w:rsidP="00AD53FD">
            <w:pPr>
              <w:pStyle w:val="ListParagraph"/>
              <w:numPr>
                <w:ilvl w:val="0"/>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Factor 2: </w:t>
            </w:r>
            <w:r w:rsidRPr="00540F00">
              <w:rPr>
                <w:rFonts w:ascii="Century Gothic" w:eastAsia="Times New Roman" w:hAnsi="Century Gothic" w:cs="Arial"/>
                <w:bCs/>
              </w:rPr>
              <w:t xml:space="preserve">high variability in cost within drugs in a given therapeutic </w:t>
            </w:r>
            <w:proofErr w:type="gramStart"/>
            <w:r w:rsidRPr="00540F00">
              <w:rPr>
                <w:rFonts w:ascii="Century Gothic" w:eastAsia="Times New Roman" w:hAnsi="Century Gothic" w:cs="Arial"/>
                <w:bCs/>
              </w:rPr>
              <w:t>class</w:t>
            </w:r>
            <w:proofErr w:type="gramEnd"/>
          </w:p>
          <w:p w14:paraId="0794C5A6"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Source: </w:t>
            </w:r>
            <w:r w:rsidRPr="00540F00">
              <w:rPr>
                <w:rFonts w:ascii="Century Gothic" w:eastAsia="Times New Roman" w:hAnsi="Century Gothic" w:cs="Arial"/>
                <w:bCs/>
              </w:rPr>
              <w:t>First Databank (FDB), internal market and competitive analysis, therapeutic class total net cost analysis</w:t>
            </w:r>
          </w:p>
          <w:p w14:paraId="716F38A2"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bCs/>
              </w:rPr>
            </w:pPr>
            <w:r w:rsidRPr="00540F00">
              <w:rPr>
                <w:rFonts w:ascii="Century Gothic" w:eastAsia="Times New Roman" w:hAnsi="Century Gothic" w:cs="Arial"/>
              </w:rPr>
              <w:t xml:space="preserve">Evidentiary Standard: </w:t>
            </w:r>
            <w:r w:rsidRPr="00540F00">
              <w:rPr>
                <w:rFonts w:ascii="Century Gothic" w:eastAsia="Times New Roman" w:hAnsi="Century Gothic" w:cs="Arial"/>
                <w:bCs/>
              </w:rPr>
              <w:t xml:space="preserve"> High cost is defined as $670/month supply. Also </w:t>
            </w:r>
            <w:proofErr w:type="gramStart"/>
            <w:r w:rsidRPr="00540F00">
              <w:rPr>
                <w:rFonts w:ascii="Century Gothic" w:eastAsia="Times New Roman" w:hAnsi="Century Gothic" w:cs="Arial"/>
                <w:bCs/>
              </w:rPr>
              <w:t>taken into account</w:t>
            </w:r>
            <w:proofErr w:type="gramEnd"/>
            <w:r w:rsidRPr="00540F00">
              <w:rPr>
                <w:rFonts w:ascii="Century Gothic" w:eastAsia="Times New Roman" w:hAnsi="Century Gothic" w:cs="Arial"/>
                <w:bCs/>
              </w:rPr>
              <w:t xml:space="preserve"> are the availability of alternate therapies (brand/generic) &amp; lowest total net cost for course of therapy for given conditions.</w:t>
            </w:r>
          </w:p>
          <w:p w14:paraId="52DC9C0E" w14:textId="77777777" w:rsidR="00AD53FD" w:rsidRPr="00540F00" w:rsidRDefault="00AD53FD">
            <w:pPr>
              <w:pStyle w:val="ListParagraph"/>
              <w:ind w:left="1440"/>
              <w:rPr>
                <w:rFonts w:ascii="Century Gothic" w:eastAsia="Times New Roman" w:hAnsi="Century Gothic" w:cs="Arial"/>
                <w:bCs/>
              </w:rPr>
            </w:pPr>
          </w:p>
          <w:p w14:paraId="745BB301" w14:textId="77777777" w:rsidR="00AD53FD" w:rsidRPr="00540F00" w:rsidRDefault="00AD53FD" w:rsidP="00AD53FD">
            <w:pPr>
              <w:pStyle w:val="ListParagraph"/>
              <w:numPr>
                <w:ilvl w:val="0"/>
                <w:numId w:val="50"/>
              </w:numPr>
              <w:spacing w:after="0" w:line="240" w:lineRule="auto"/>
              <w:rPr>
                <w:rFonts w:ascii="Century Gothic" w:eastAsia="Times New Roman" w:hAnsi="Century Gothic" w:cs="Arial"/>
                <w:bCs/>
              </w:rPr>
            </w:pPr>
            <w:r w:rsidRPr="00540F00">
              <w:rPr>
                <w:rFonts w:ascii="Century Gothic" w:eastAsia="Times New Roman" w:hAnsi="Century Gothic" w:cs="Arial"/>
              </w:rPr>
              <w:t xml:space="preserve">Factor 3: </w:t>
            </w:r>
            <w:r w:rsidRPr="00540F00">
              <w:rPr>
                <w:rFonts w:ascii="Century Gothic" w:eastAsia="Times New Roman" w:hAnsi="Century Gothic" w:cs="Arial"/>
                <w:bCs/>
              </w:rPr>
              <w:t xml:space="preserve">anticipated excessive </w:t>
            </w:r>
            <w:proofErr w:type="gramStart"/>
            <w:r w:rsidRPr="00540F00">
              <w:rPr>
                <w:rFonts w:ascii="Century Gothic" w:eastAsia="Times New Roman" w:hAnsi="Century Gothic" w:cs="Arial"/>
                <w:bCs/>
              </w:rPr>
              <w:t>utilization</w:t>
            </w:r>
            <w:proofErr w:type="gramEnd"/>
            <w:r w:rsidRPr="00540F00">
              <w:rPr>
                <w:rFonts w:ascii="Century Gothic" w:eastAsia="Times New Roman" w:hAnsi="Century Gothic" w:cs="Arial"/>
                <w:bCs/>
              </w:rPr>
              <w:t xml:space="preserve"> </w:t>
            </w:r>
          </w:p>
          <w:p w14:paraId="7CEF191B"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Source: </w:t>
            </w:r>
            <w:r w:rsidRPr="00540F00">
              <w:rPr>
                <w:rFonts w:ascii="Century Gothic" w:eastAsia="Times New Roman" w:hAnsi="Century Gothic" w:cs="Arial"/>
                <w:bCs/>
              </w:rPr>
              <w:t>A</w:t>
            </w:r>
            <w:r w:rsidRPr="00540F00">
              <w:rPr>
                <w:rFonts w:ascii="Century Gothic" w:hAnsi="Century Gothic" w:cs="Arial"/>
                <w:bCs/>
              </w:rPr>
              <w:t xml:space="preserve">ggregated data or non-identifiable utilization reports, FDA Prescribing Information, professionally recognized treatment guidelines used to define clinically appropriate standards of care such as nationally recognized Compendia - Truven Health Analytics Micromedex </w:t>
            </w:r>
            <w:proofErr w:type="spellStart"/>
            <w:r w:rsidRPr="00540F00">
              <w:rPr>
                <w:rFonts w:ascii="Century Gothic" w:hAnsi="Century Gothic" w:cs="Arial"/>
                <w:bCs/>
              </w:rPr>
              <w:t>DrugDEX</w:t>
            </w:r>
            <w:proofErr w:type="spellEnd"/>
            <w:r w:rsidRPr="00540F00">
              <w:rPr>
                <w:rFonts w:ascii="Century Gothic" w:hAnsi="Century Gothic" w:cs="Arial"/>
                <w:bCs/>
              </w:rPr>
              <w:t xml:space="preserve"> (</w:t>
            </w:r>
            <w:proofErr w:type="spellStart"/>
            <w:r w:rsidRPr="00540F00">
              <w:rPr>
                <w:rFonts w:ascii="Century Gothic" w:hAnsi="Century Gothic" w:cs="Arial"/>
                <w:bCs/>
              </w:rPr>
              <w:t>DrugDEX</w:t>
            </w:r>
            <w:proofErr w:type="spellEnd"/>
            <w:r w:rsidRPr="00540F00">
              <w:rPr>
                <w:rFonts w:ascii="Century Gothic" w:hAnsi="Century Gothic" w:cs="Arial"/>
                <w:bCs/>
              </w:rPr>
              <w:t>), and peer-reviewed medical literature.</w:t>
            </w:r>
          </w:p>
          <w:p w14:paraId="7BA328CD"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Evidentiary Standard: </w:t>
            </w:r>
            <w:r w:rsidRPr="00540F00">
              <w:rPr>
                <w:rFonts w:ascii="Century Gothic" w:eastAsia="Times New Roman" w:hAnsi="Century Gothic" w:cs="Arial"/>
                <w:bCs/>
              </w:rPr>
              <w:t>Clinical Pharmacist reviews claims data every 6 months and compares actual utilization against the recommendations in the sources identified above (e.g. FDA prescribing information, dosing schedules, etc.) to determine whether a drug is being used excessively or inappropriately. “Excessive utilization” is defined as anything above the FDA approved dosing schedule or recommended dosage in peer-reviewed medical journals. If the Clinical Pharmacist determines a drug is subject to potential excessive utilization, the Clinical Pharmacist or the P&amp;T Committee may recommend applying prior authorization to the Value Assessment Committee (VAC). The VAC reviews the Clinical Pharmacist’s and the P&amp;T Committee recommendation to approve the decision of applying prior authorization.</w:t>
            </w:r>
          </w:p>
        </w:tc>
        <w:tc>
          <w:tcPr>
            <w:tcW w:w="2500" w:type="pct"/>
            <w:tcBorders>
              <w:top w:val="single" w:sz="4" w:space="0" w:color="auto"/>
              <w:left w:val="single" w:sz="4" w:space="0" w:color="auto"/>
              <w:bottom w:val="single" w:sz="4" w:space="0" w:color="auto"/>
              <w:right w:val="single" w:sz="4" w:space="0" w:color="auto"/>
            </w:tcBorders>
          </w:tcPr>
          <w:p w14:paraId="3D613463"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b/>
              </w:rPr>
              <w:t>MH/SUD</w:t>
            </w:r>
            <w:r w:rsidRPr="00540F00">
              <w:rPr>
                <w:rFonts w:ascii="Century Gothic" w:eastAsia="Times New Roman" w:hAnsi="Century Gothic" w:cs="Arial"/>
              </w:rPr>
              <w:t>:</w:t>
            </w:r>
          </w:p>
          <w:p w14:paraId="50EA1782"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A. </w:t>
            </w:r>
          </w:p>
          <w:p w14:paraId="3F94AF9E" w14:textId="77777777" w:rsidR="00AD53FD" w:rsidRPr="00540F00" w:rsidRDefault="00AD53FD" w:rsidP="00AD53FD">
            <w:pPr>
              <w:pStyle w:val="ListParagraph"/>
              <w:numPr>
                <w:ilvl w:val="0"/>
                <w:numId w:val="50"/>
              </w:numPr>
              <w:spacing w:after="0" w:line="240" w:lineRule="auto"/>
              <w:rPr>
                <w:rFonts w:ascii="Century Gothic" w:eastAsia="Times New Roman" w:hAnsi="Century Gothic" w:cs="Arial"/>
              </w:rPr>
            </w:pPr>
            <w:r w:rsidRPr="00540F00">
              <w:rPr>
                <w:rFonts w:ascii="Century Gothic" w:eastAsia="Times New Roman" w:hAnsi="Century Gothic" w:cs="Arial"/>
              </w:rPr>
              <w:t>Factor 1: lack of adherence to quality standards – This factor carries more weight due to the safety concerns. Ensuring the safety and wellbeing of our members is of upmost importance.</w:t>
            </w:r>
          </w:p>
          <w:p w14:paraId="46220EA0"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Sources: </w:t>
            </w:r>
            <w:r w:rsidRPr="00540F00">
              <w:rPr>
                <w:rFonts w:ascii="Century Gothic" w:hAnsi="Century Gothic" w:cs="Arial"/>
              </w:rPr>
              <w:t xml:space="preserve">FDA Prescribing Information, professionally recognized treatment guidelines used to define clinically appropriate standards of care such as ASAM criteria or APA treatment guidelines, nationally recognized Compendia - Truven Health Analytics Micromedex </w:t>
            </w:r>
            <w:proofErr w:type="spellStart"/>
            <w:r w:rsidRPr="00540F00">
              <w:rPr>
                <w:rFonts w:ascii="Century Gothic" w:hAnsi="Century Gothic" w:cs="Arial"/>
              </w:rPr>
              <w:t>DrugDEX</w:t>
            </w:r>
            <w:proofErr w:type="spellEnd"/>
            <w:r w:rsidRPr="00540F00">
              <w:rPr>
                <w:rFonts w:ascii="Century Gothic" w:hAnsi="Century Gothic" w:cs="Arial"/>
              </w:rPr>
              <w:t xml:space="preserve"> (</w:t>
            </w:r>
            <w:proofErr w:type="spellStart"/>
            <w:r w:rsidRPr="00540F00">
              <w:rPr>
                <w:rFonts w:ascii="Century Gothic" w:hAnsi="Century Gothic" w:cs="Arial"/>
              </w:rPr>
              <w:t>DrugDEX</w:t>
            </w:r>
            <w:proofErr w:type="spellEnd"/>
            <w:r w:rsidRPr="00540F00">
              <w:rPr>
                <w:rFonts w:ascii="Century Gothic" w:hAnsi="Century Gothic" w:cs="Arial"/>
              </w:rPr>
              <w:t>), and peer-reviewed medical literature.</w:t>
            </w:r>
          </w:p>
          <w:p w14:paraId="2397DBE1"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Evidentiary Standard: Same as M/S  </w:t>
            </w:r>
          </w:p>
          <w:p w14:paraId="13DB12B8" w14:textId="77777777" w:rsidR="00AD53FD" w:rsidRPr="00540F00" w:rsidRDefault="00AD53FD">
            <w:pPr>
              <w:rPr>
                <w:rFonts w:ascii="Century Gothic" w:eastAsia="Times New Roman" w:hAnsi="Century Gothic" w:cs="Arial"/>
              </w:rPr>
            </w:pPr>
          </w:p>
          <w:p w14:paraId="5669D75D" w14:textId="77777777" w:rsidR="00AD53FD" w:rsidRPr="00540F00" w:rsidRDefault="00AD53FD">
            <w:pPr>
              <w:rPr>
                <w:rFonts w:ascii="Century Gothic" w:eastAsia="Times New Roman" w:hAnsi="Century Gothic" w:cs="Arial"/>
              </w:rPr>
            </w:pPr>
          </w:p>
          <w:p w14:paraId="3577DF4E" w14:textId="77777777" w:rsidR="00AD53FD" w:rsidRPr="00540F00" w:rsidRDefault="00AD53FD">
            <w:pPr>
              <w:rPr>
                <w:rFonts w:ascii="Century Gothic" w:eastAsia="Times New Roman" w:hAnsi="Century Gothic" w:cs="Arial"/>
              </w:rPr>
            </w:pPr>
          </w:p>
          <w:p w14:paraId="52BE88FA" w14:textId="77777777" w:rsidR="00AD53FD" w:rsidRPr="00540F00" w:rsidRDefault="00AD53FD">
            <w:pPr>
              <w:rPr>
                <w:rFonts w:ascii="Century Gothic" w:eastAsia="Times New Roman" w:hAnsi="Century Gothic" w:cs="Arial"/>
              </w:rPr>
            </w:pPr>
          </w:p>
          <w:p w14:paraId="7299D042" w14:textId="77777777" w:rsidR="00AD53FD" w:rsidRPr="00540F00" w:rsidRDefault="00AD53FD">
            <w:pPr>
              <w:rPr>
                <w:rFonts w:ascii="Century Gothic" w:eastAsia="Times New Roman" w:hAnsi="Century Gothic" w:cs="Arial"/>
              </w:rPr>
            </w:pPr>
          </w:p>
          <w:p w14:paraId="11D77455" w14:textId="77777777" w:rsidR="00AD53FD" w:rsidRPr="00540F00" w:rsidRDefault="00AD53FD">
            <w:pPr>
              <w:rPr>
                <w:rFonts w:ascii="Century Gothic" w:eastAsia="Times New Roman" w:hAnsi="Century Gothic" w:cs="Arial"/>
              </w:rPr>
            </w:pPr>
          </w:p>
          <w:p w14:paraId="59A66EA4" w14:textId="77777777" w:rsidR="00AD53FD" w:rsidRPr="00540F00" w:rsidRDefault="00AD53FD">
            <w:pPr>
              <w:rPr>
                <w:rFonts w:ascii="Century Gothic" w:eastAsia="Times New Roman" w:hAnsi="Century Gothic" w:cs="Arial"/>
              </w:rPr>
            </w:pPr>
          </w:p>
          <w:p w14:paraId="35417D1F" w14:textId="77777777" w:rsidR="00AD53FD" w:rsidRPr="00540F00" w:rsidRDefault="00AD53FD">
            <w:pPr>
              <w:rPr>
                <w:rFonts w:ascii="Century Gothic" w:eastAsia="Times New Roman" w:hAnsi="Century Gothic" w:cs="Arial"/>
              </w:rPr>
            </w:pPr>
          </w:p>
          <w:p w14:paraId="723FAA0D" w14:textId="77777777" w:rsidR="00AD53FD" w:rsidRPr="00540F00" w:rsidRDefault="00AD53FD">
            <w:pPr>
              <w:rPr>
                <w:rFonts w:ascii="Century Gothic" w:eastAsia="Times New Roman" w:hAnsi="Century Gothic" w:cs="Arial"/>
              </w:rPr>
            </w:pPr>
          </w:p>
          <w:p w14:paraId="300910DE" w14:textId="77777777" w:rsidR="00AD53FD" w:rsidRPr="00540F00" w:rsidRDefault="00AD53FD">
            <w:pPr>
              <w:rPr>
                <w:rFonts w:ascii="Century Gothic" w:eastAsia="Times New Roman" w:hAnsi="Century Gothic" w:cs="Arial"/>
              </w:rPr>
            </w:pPr>
          </w:p>
          <w:p w14:paraId="272E9207" w14:textId="77777777" w:rsidR="00AD53FD" w:rsidRPr="00540F00" w:rsidRDefault="00AD53FD">
            <w:pPr>
              <w:rPr>
                <w:rFonts w:ascii="Century Gothic" w:eastAsia="Times New Roman" w:hAnsi="Century Gothic" w:cs="Arial"/>
              </w:rPr>
            </w:pPr>
          </w:p>
          <w:p w14:paraId="128CD271" w14:textId="77777777" w:rsidR="00AD53FD" w:rsidRPr="00540F00" w:rsidRDefault="00AD53FD">
            <w:pPr>
              <w:rPr>
                <w:rFonts w:ascii="Century Gothic" w:eastAsia="Times New Roman" w:hAnsi="Century Gothic" w:cs="Arial"/>
              </w:rPr>
            </w:pPr>
          </w:p>
          <w:p w14:paraId="0F9A1D94" w14:textId="77777777" w:rsidR="00AD53FD" w:rsidRPr="00540F00" w:rsidRDefault="00AD53FD">
            <w:pPr>
              <w:rPr>
                <w:rFonts w:ascii="Century Gothic" w:eastAsia="Times New Roman" w:hAnsi="Century Gothic" w:cs="Arial"/>
              </w:rPr>
            </w:pPr>
          </w:p>
          <w:p w14:paraId="60EF7ACB" w14:textId="77777777" w:rsidR="00AD53FD" w:rsidRPr="00540F00" w:rsidRDefault="00AD53FD" w:rsidP="00AD53FD">
            <w:pPr>
              <w:pStyle w:val="ListParagraph"/>
              <w:numPr>
                <w:ilvl w:val="0"/>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Factor 2: high variability in cost within drugs in a given therapeutic </w:t>
            </w:r>
            <w:proofErr w:type="gramStart"/>
            <w:r w:rsidRPr="00540F00">
              <w:rPr>
                <w:rFonts w:ascii="Century Gothic" w:eastAsia="Times New Roman" w:hAnsi="Century Gothic" w:cs="Arial"/>
              </w:rPr>
              <w:t>class</w:t>
            </w:r>
            <w:proofErr w:type="gramEnd"/>
          </w:p>
          <w:p w14:paraId="5E46A931"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Sources: Same as M/S</w:t>
            </w:r>
          </w:p>
          <w:p w14:paraId="57D5A8C5"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Evidentiary Standard: Same as M/S </w:t>
            </w:r>
          </w:p>
          <w:p w14:paraId="3AB883F4" w14:textId="77777777" w:rsidR="00AD53FD" w:rsidRPr="00540F00" w:rsidRDefault="00AD53FD">
            <w:pPr>
              <w:rPr>
                <w:rFonts w:ascii="Century Gothic" w:eastAsia="Times New Roman" w:hAnsi="Century Gothic" w:cs="Arial"/>
              </w:rPr>
            </w:pPr>
          </w:p>
          <w:p w14:paraId="53AB012E" w14:textId="77777777" w:rsidR="00AD53FD" w:rsidRPr="00540F00" w:rsidRDefault="00AD53FD">
            <w:pPr>
              <w:rPr>
                <w:rFonts w:ascii="Century Gothic" w:eastAsia="Times New Roman" w:hAnsi="Century Gothic" w:cs="Arial"/>
              </w:rPr>
            </w:pPr>
          </w:p>
          <w:p w14:paraId="62591DDF" w14:textId="77777777" w:rsidR="00AD53FD" w:rsidRPr="00540F00" w:rsidRDefault="00AD53FD">
            <w:pPr>
              <w:rPr>
                <w:rFonts w:ascii="Century Gothic" w:eastAsia="Times New Roman" w:hAnsi="Century Gothic" w:cs="Arial"/>
              </w:rPr>
            </w:pPr>
          </w:p>
          <w:p w14:paraId="4D1BEF02" w14:textId="77777777" w:rsidR="00AD53FD" w:rsidRPr="00540F00" w:rsidRDefault="00AD53FD">
            <w:pPr>
              <w:rPr>
                <w:rFonts w:ascii="Century Gothic" w:eastAsia="Times New Roman" w:hAnsi="Century Gothic" w:cs="Arial"/>
              </w:rPr>
            </w:pPr>
          </w:p>
          <w:p w14:paraId="5DAA0473" w14:textId="77777777" w:rsidR="00AD53FD" w:rsidRPr="00540F00" w:rsidRDefault="00AD53FD">
            <w:pPr>
              <w:rPr>
                <w:rFonts w:ascii="Century Gothic" w:eastAsia="Times New Roman" w:hAnsi="Century Gothic" w:cs="Arial"/>
              </w:rPr>
            </w:pPr>
          </w:p>
          <w:p w14:paraId="7AE2DE90" w14:textId="77777777" w:rsidR="00AD53FD" w:rsidRPr="00540F00" w:rsidRDefault="00AD53FD">
            <w:pPr>
              <w:rPr>
                <w:rFonts w:ascii="Century Gothic" w:eastAsia="Times New Roman" w:hAnsi="Century Gothic" w:cs="Arial"/>
              </w:rPr>
            </w:pPr>
          </w:p>
          <w:p w14:paraId="0FDBDDE3" w14:textId="77777777" w:rsidR="00AD53FD" w:rsidRPr="00540F00" w:rsidRDefault="00AD53FD">
            <w:pPr>
              <w:rPr>
                <w:rFonts w:ascii="Century Gothic" w:eastAsia="Times New Roman" w:hAnsi="Century Gothic" w:cs="Arial"/>
              </w:rPr>
            </w:pPr>
          </w:p>
          <w:p w14:paraId="00DC1A32" w14:textId="77777777" w:rsidR="00AD53FD" w:rsidRPr="00540F00" w:rsidRDefault="00AD53FD" w:rsidP="00AD53FD">
            <w:pPr>
              <w:pStyle w:val="ListParagraph"/>
              <w:numPr>
                <w:ilvl w:val="0"/>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Factor 3: anticipated excessive </w:t>
            </w:r>
            <w:proofErr w:type="gramStart"/>
            <w:r w:rsidRPr="00540F00">
              <w:rPr>
                <w:rFonts w:ascii="Century Gothic" w:eastAsia="Times New Roman" w:hAnsi="Century Gothic" w:cs="Arial"/>
              </w:rPr>
              <w:t>utilization</w:t>
            </w:r>
            <w:proofErr w:type="gramEnd"/>
          </w:p>
          <w:p w14:paraId="16E5A3A5"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Source: A</w:t>
            </w:r>
            <w:r w:rsidRPr="00540F00">
              <w:rPr>
                <w:rFonts w:ascii="Century Gothic" w:hAnsi="Century Gothic" w:cs="Arial"/>
              </w:rPr>
              <w:t xml:space="preserve">ggregated data or non-identifiable utilization reports, FDA Prescribing Information, professionally recognized treatment guidelines used to define clinically appropriate standards of care such as ASAM criteria or APA treatment guidelines, nationally recognized Compendia - Truven Health Analytics Micromedex </w:t>
            </w:r>
            <w:proofErr w:type="spellStart"/>
            <w:r w:rsidRPr="00540F00">
              <w:rPr>
                <w:rFonts w:ascii="Century Gothic" w:hAnsi="Century Gothic" w:cs="Arial"/>
              </w:rPr>
              <w:t>DrugDEX</w:t>
            </w:r>
            <w:proofErr w:type="spellEnd"/>
            <w:r w:rsidRPr="00540F00">
              <w:rPr>
                <w:rFonts w:ascii="Century Gothic" w:hAnsi="Century Gothic" w:cs="Arial"/>
              </w:rPr>
              <w:t xml:space="preserve"> (</w:t>
            </w:r>
            <w:proofErr w:type="spellStart"/>
            <w:r w:rsidRPr="00540F00">
              <w:rPr>
                <w:rFonts w:ascii="Century Gothic" w:hAnsi="Century Gothic" w:cs="Arial"/>
              </w:rPr>
              <w:t>DrugDEX</w:t>
            </w:r>
            <w:proofErr w:type="spellEnd"/>
            <w:r w:rsidRPr="00540F00">
              <w:rPr>
                <w:rFonts w:ascii="Century Gothic" w:hAnsi="Century Gothic" w:cs="Arial"/>
              </w:rPr>
              <w:t>), and peer-reviewed medical literature.</w:t>
            </w:r>
          </w:p>
          <w:p w14:paraId="02C39C41" w14:textId="77777777" w:rsidR="00AD53FD" w:rsidRPr="00540F00" w:rsidRDefault="00AD53FD" w:rsidP="00AD53FD">
            <w:pPr>
              <w:pStyle w:val="ListParagraph"/>
              <w:numPr>
                <w:ilvl w:val="1"/>
                <w:numId w:val="50"/>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Evidentiary Standard: Same as M/S </w:t>
            </w:r>
          </w:p>
          <w:p w14:paraId="254E2825" w14:textId="77777777" w:rsidR="00AD53FD" w:rsidRPr="00540F00" w:rsidRDefault="00AD53FD">
            <w:pPr>
              <w:rPr>
                <w:rFonts w:ascii="Century Gothic" w:eastAsia="Times New Roman" w:hAnsi="Century Gothic" w:cs="Arial"/>
              </w:rPr>
            </w:pPr>
          </w:p>
          <w:p w14:paraId="4266C9F4" w14:textId="77777777" w:rsidR="00AD53FD" w:rsidRPr="00540F00" w:rsidRDefault="00AD53FD">
            <w:pPr>
              <w:pStyle w:val="ListParagraph"/>
              <w:ind w:left="1440"/>
              <w:rPr>
                <w:rFonts w:ascii="Century Gothic" w:eastAsia="Times New Roman" w:hAnsi="Century Gothic" w:cs="Arial"/>
              </w:rPr>
            </w:pPr>
          </w:p>
          <w:p w14:paraId="7C5E78CE" w14:textId="77777777" w:rsidR="00AD53FD" w:rsidRPr="00540F00" w:rsidRDefault="00AD53FD">
            <w:pPr>
              <w:rPr>
                <w:rFonts w:ascii="Century Gothic" w:eastAsia="Times New Roman" w:hAnsi="Century Gothic" w:cs="Arial"/>
              </w:rPr>
            </w:pPr>
          </w:p>
          <w:p w14:paraId="4F4D7337"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 </w:t>
            </w:r>
          </w:p>
        </w:tc>
      </w:tr>
      <w:tr w:rsidR="00AD53FD" w14:paraId="262B8059" w14:textId="77777777" w:rsidTr="00AD53FD">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84D4D" w14:textId="77777777" w:rsidR="00AD53FD" w:rsidRPr="00540F00" w:rsidRDefault="00AD53FD">
            <w:pPr>
              <w:rPr>
                <w:rFonts w:ascii="Century Gothic" w:eastAsia="Times New Roman" w:hAnsi="Century Gothic" w:cs="Arial"/>
                <w:bCs/>
              </w:rPr>
            </w:pPr>
            <w:r w:rsidRPr="00540F00">
              <w:rPr>
                <w:rFonts w:ascii="Century Gothic" w:eastAsia="Times New Roman" w:hAnsi="Century Gothic"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54BA6474" w14:textId="77777777" w:rsidR="00AD53FD" w:rsidRPr="00540F00" w:rsidRDefault="00AD53FD" w:rsidP="00AD53FD">
            <w:pPr>
              <w:pStyle w:val="ListParagraph"/>
              <w:numPr>
                <w:ilvl w:val="0"/>
                <w:numId w:val="62"/>
              </w:numPr>
              <w:spacing w:after="0" w:line="240" w:lineRule="auto"/>
              <w:rPr>
                <w:rFonts w:ascii="Century Gothic" w:eastAsia="Times New Roman" w:hAnsi="Century Gothic" w:cs="Arial"/>
                <w:bCs/>
                <w:i/>
              </w:rPr>
            </w:pPr>
            <w:r w:rsidRPr="00540F00">
              <w:rPr>
                <w:rFonts w:ascii="Century Gothic" w:eastAsia="Times New Roman" w:hAnsi="Century Gothic" w:cs="Arial"/>
                <w:bCs/>
                <w:i/>
              </w:rPr>
              <w:t>The analyses, as documented, should explain whether there is any variation in the application of a guideline or standard used by the plan or issuer between MH/SUD and medical/surgical benefits and, if so, describe the process and factors used for establishing that variation.</w:t>
            </w:r>
          </w:p>
          <w:p w14:paraId="0DAC9C0C" w14:textId="77777777" w:rsidR="00AD53FD" w:rsidRPr="00540F00" w:rsidRDefault="00AD53FD" w:rsidP="00AD53FD">
            <w:pPr>
              <w:pStyle w:val="ListParagraph"/>
              <w:numPr>
                <w:ilvl w:val="0"/>
                <w:numId w:val="62"/>
              </w:numPr>
              <w:spacing w:after="0" w:line="240" w:lineRule="auto"/>
              <w:rPr>
                <w:rFonts w:ascii="Century Gothic" w:eastAsia="Times New Roman" w:hAnsi="Century Gothic" w:cs="Arial"/>
                <w:bCs/>
                <w:i/>
              </w:rPr>
            </w:pPr>
            <w:r w:rsidRPr="00540F00">
              <w:rPr>
                <w:rFonts w:ascii="Century Gothic" w:eastAsia="Times New Roman" w:hAnsi="Century Gothic" w:cs="Arial"/>
                <w:bCs/>
                <w:i/>
              </w:rPr>
              <w:t>If the application of the NQTL turns on specific decisions in administration of the benefits, the plan or issuer should identify the nature of the decisions, the decision maker(s), the timing of the decisions, and the qualifications of the decision maker(s).</w:t>
            </w:r>
          </w:p>
          <w:p w14:paraId="31EB2D09" w14:textId="77777777" w:rsidR="00AD53FD" w:rsidRPr="00540F00" w:rsidRDefault="00AD53FD" w:rsidP="00AD53FD">
            <w:pPr>
              <w:pStyle w:val="ListParagraph"/>
              <w:numPr>
                <w:ilvl w:val="0"/>
                <w:numId w:val="62"/>
              </w:numPr>
              <w:spacing w:after="0" w:line="240" w:lineRule="auto"/>
              <w:rPr>
                <w:rFonts w:ascii="Century Gothic" w:eastAsia="Times New Roman" w:hAnsi="Century Gothic" w:cs="Arial"/>
                <w:bCs/>
                <w:i/>
              </w:rPr>
            </w:pPr>
            <w:r w:rsidRPr="00540F00">
              <w:rPr>
                <w:rFonts w:ascii="Century Gothic" w:eastAsia="Times New Roman" w:hAnsi="Century Gothic" w:cs="Arial"/>
                <w:bCs/>
                <w:i/>
              </w:rPr>
              <w:t xml:space="preserve">If the </w:t>
            </w:r>
            <w:proofErr w:type="gramStart"/>
            <w:r w:rsidRPr="00540F00">
              <w:rPr>
                <w:rFonts w:ascii="Century Gothic" w:eastAsia="Times New Roman" w:hAnsi="Century Gothic" w:cs="Arial"/>
                <w:bCs/>
                <w:i/>
              </w:rPr>
              <w:t>plan’s</w:t>
            </w:r>
            <w:proofErr w:type="gramEnd"/>
            <w:r w:rsidRPr="00540F00">
              <w:rPr>
                <w:rFonts w:ascii="Century Gothic" w:eastAsia="Times New Roman" w:hAnsi="Century Gothic" w:cs="Arial"/>
                <w:bCs/>
                <w:i/>
              </w:rPr>
              <w:t xml:space="preserve">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r w:rsidRPr="00540F00">
              <w:rPr>
                <w:rStyle w:val="FootnoteReference"/>
                <w:rFonts w:ascii="Century Gothic" w:eastAsia="Times New Roman" w:hAnsi="Century Gothic" w:cs="Arial"/>
                <w:bCs/>
                <w:i/>
              </w:rPr>
              <w:footnoteReference w:id="14"/>
            </w:r>
          </w:p>
        </w:tc>
      </w:tr>
      <w:tr w:rsidR="00AD53FD" w14:paraId="224C76BE" w14:textId="77777777" w:rsidTr="00AD53FD">
        <w:trPr>
          <w:trHeight w:val="1720"/>
        </w:trPr>
        <w:tc>
          <w:tcPr>
            <w:tcW w:w="2500" w:type="pct"/>
            <w:tcBorders>
              <w:top w:val="single" w:sz="4" w:space="0" w:color="auto"/>
              <w:left w:val="single" w:sz="4" w:space="0" w:color="auto"/>
              <w:bottom w:val="single" w:sz="4" w:space="0" w:color="auto"/>
              <w:right w:val="single" w:sz="4" w:space="0" w:color="auto"/>
            </w:tcBorders>
          </w:tcPr>
          <w:p w14:paraId="33BD3690" w14:textId="7CE313A4" w:rsidR="00AD53FD" w:rsidRPr="00540F00" w:rsidRDefault="00AD53FD">
            <w:pPr>
              <w:rPr>
                <w:rFonts w:ascii="Century Gothic" w:eastAsia="Times New Roman" w:hAnsi="Century Gothic" w:cs="Arial"/>
              </w:rPr>
            </w:pPr>
            <w:r w:rsidRPr="00540F00">
              <w:rPr>
                <w:rFonts w:ascii="Century Gothic" w:eastAsia="Times New Roman" w:hAnsi="Century Gothic" w:cs="Arial"/>
                <w:b/>
                <w:i/>
              </w:rPr>
              <w:t>Step 4(a): Identify and define the processes and strategies used to develop internal Medical Necessity guidelines or modifications to external guidelines that are created by the Plan</w:t>
            </w:r>
            <w:r w:rsidRPr="00540F00">
              <w:rPr>
                <w:rFonts w:ascii="Century Gothic" w:eastAsia="Times New Roman" w:hAnsi="Century Gothic" w:cs="Arial"/>
              </w:rPr>
              <w:t>:</w:t>
            </w:r>
          </w:p>
          <w:p w14:paraId="701CE09F" w14:textId="6BAC3FB5" w:rsidR="00AD53FD" w:rsidRPr="00540F00" w:rsidRDefault="00AD53FD" w:rsidP="00AD53FD">
            <w:pPr>
              <w:pStyle w:val="BodyText"/>
              <w:spacing w:before="223" w:line="264" w:lineRule="auto"/>
              <w:rPr>
                <w:rFonts w:ascii="Century Gothic" w:eastAsiaTheme="minorHAnsi" w:hAnsi="Century Gothic" w:cs="Arial"/>
                <w:sz w:val="22"/>
                <w:szCs w:val="22"/>
              </w:rPr>
            </w:pPr>
            <w:r w:rsidRPr="00540F00">
              <w:rPr>
                <w:rFonts w:ascii="Century Gothic" w:hAnsi="Century Gothic" w:cs="Arial"/>
                <w:sz w:val="22"/>
                <w:szCs w:val="22"/>
              </w:rPr>
              <w:t xml:space="preserve">Medical Necessity considerations are built into drug specific Prior authorization criteria for prescription drugs and are analyzed semi-annually for parity. The same Off-Label policy and non-formulary drug exception policy, which are reviewed annually by the Pharmacy &amp; Therapeutics Committee, are used for both MH/SUD and M/S drugs. These policies can be found at https://wellfleetrx.com/students/formularies/. The same P&amp;T committee, comprised of a range of specialists, make decisions on appropriateness of medical necessity criteria based on the factors, sources, and evidentiary standards stated above. </w:t>
            </w:r>
          </w:p>
          <w:p w14:paraId="1EE2329E"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i/>
              </w:rPr>
              <w:t>Key steps in the process for developing standards</w:t>
            </w:r>
            <w:r w:rsidRPr="00540F00">
              <w:rPr>
                <w:rFonts w:ascii="Century Gothic" w:eastAsia="Times New Roman" w:hAnsi="Century Gothic" w:cs="Arial"/>
              </w:rPr>
              <w:t>:</w:t>
            </w:r>
          </w:p>
          <w:p w14:paraId="66BC9ECE" w14:textId="77777777" w:rsidR="00AD53FD" w:rsidRPr="00540F00" w:rsidRDefault="00AD53FD" w:rsidP="00AD53FD">
            <w:pPr>
              <w:pStyle w:val="ListParagraph"/>
              <w:numPr>
                <w:ilvl w:val="0"/>
                <w:numId w:val="63"/>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After determination is made by the P&amp;T Committee and Value Assessment Committee to assign Prior Authorization to a particular drug product (see Prior Authorization NQTL response for factors/sources), the medical necessity criteria to accompany this designation must be made. </w:t>
            </w:r>
          </w:p>
          <w:p w14:paraId="6D2522A5" w14:textId="77777777" w:rsidR="00AD53FD" w:rsidRPr="00540F00" w:rsidRDefault="00AD53FD" w:rsidP="00AD53FD">
            <w:pPr>
              <w:pStyle w:val="ListParagraph"/>
              <w:numPr>
                <w:ilvl w:val="0"/>
                <w:numId w:val="63"/>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When a new drug product or new indication is approved by the FDA, a clinical pharmacist is assigned to review the drug.  A clinical pharmacist will be assigned as the author to complete the new drug </w:t>
            </w:r>
            <w:proofErr w:type="gramStart"/>
            <w:r w:rsidRPr="00540F00">
              <w:rPr>
                <w:rFonts w:ascii="Century Gothic" w:eastAsia="Times New Roman" w:hAnsi="Century Gothic" w:cs="Arial"/>
              </w:rPr>
              <w:t>review</w:t>
            </w:r>
            <w:proofErr w:type="gramEnd"/>
            <w:r w:rsidRPr="00540F00">
              <w:rPr>
                <w:rFonts w:ascii="Century Gothic" w:eastAsia="Times New Roman" w:hAnsi="Century Gothic" w:cs="Arial"/>
              </w:rPr>
              <w:t xml:space="preserve"> is responsible for creating a PA policy base criterion.  The author will create a draft policy, which will be discussed at the next P&amp;T Committee meeting for review, feedback, and approval.  The author will revise the PA policy, if necessary, based on input from specialists. This criterion will be based </w:t>
            </w:r>
            <w:proofErr w:type="gramStart"/>
            <w:r w:rsidRPr="00540F00">
              <w:rPr>
                <w:rFonts w:ascii="Century Gothic" w:eastAsia="Times New Roman" w:hAnsi="Century Gothic" w:cs="Arial"/>
              </w:rPr>
              <w:t>off of</w:t>
            </w:r>
            <w:proofErr w:type="gramEnd"/>
            <w:r w:rsidRPr="00540F00">
              <w:rPr>
                <w:rFonts w:ascii="Century Gothic" w:eastAsia="Times New Roman" w:hAnsi="Century Gothic" w:cs="Arial"/>
              </w:rPr>
              <w:t xml:space="preserve"> the FDA-approved indication, dosage, and administration information in the package insert, as well as pertinent demographic information from the pivotal study leading to the approval of the drug product.</w:t>
            </w:r>
          </w:p>
          <w:p w14:paraId="44AEFDAA" w14:textId="77777777" w:rsidR="00AD53FD" w:rsidRPr="00540F00" w:rsidRDefault="00AD53FD" w:rsidP="00AD53FD">
            <w:pPr>
              <w:pStyle w:val="ListParagraph"/>
              <w:numPr>
                <w:ilvl w:val="0"/>
                <w:numId w:val="63"/>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In the </w:t>
            </w:r>
            <w:proofErr w:type="gramStart"/>
            <w:r w:rsidRPr="00540F00">
              <w:rPr>
                <w:rFonts w:ascii="Century Gothic" w:eastAsia="Times New Roman" w:hAnsi="Century Gothic" w:cs="Arial"/>
              </w:rPr>
              <w:t>period of time</w:t>
            </w:r>
            <w:proofErr w:type="gramEnd"/>
            <w:r w:rsidRPr="00540F00">
              <w:rPr>
                <w:rFonts w:ascii="Century Gothic" w:eastAsia="Times New Roman" w:hAnsi="Century Gothic" w:cs="Arial"/>
              </w:rPr>
              <w:t xml:space="preserve"> between designation and finalization of the specific criteria, the guideline entitled “Guidelines for Drugs Without PA Criteria” is used for approval/denial of prior authorization requests. This guideline requires the drug to be FDA approved for the indication the provider is attempting to use it for, and that the patient meets any standards within the “Indications and Usage” section of the FDA label (age, gender, genetic phenotype, etc.)</w:t>
            </w:r>
          </w:p>
          <w:p w14:paraId="084647FD" w14:textId="77777777" w:rsidR="00AD53FD" w:rsidRPr="00540F00" w:rsidRDefault="00AD53FD" w:rsidP="00AD53FD">
            <w:pPr>
              <w:pStyle w:val="ListParagraph"/>
              <w:numPr>
                <w:ilvl w:val="0"/>
                <w:numId w:val="63"/>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In most cases, a drug-specific base criteria to potentially use in the future is presented during the P&amp;T Committee New Drug Review and discussed. There are a few exceptions to the utilization of a drug specific criteria. For example, medication class guidelines may group many medications under one large umbrella (ex. Fertility Drugs). The creation of these guidelines follows the same procedure listed here. </w:t>
            </w:r>
          </w:p>
          <w:p w14:paraId="0B44779A" w14:textId="77777777" w:rsidR="00AD53FD" w:rsidRPr="00540F00" w:rsidRDefault="00AD53FD" w:rsidP="00AD53FD">
            <w:pPr>
              <w:pStyle w:val="ListParagraph"/>
              <w:numPr>
                <w:ilvl w:val="0"/>
                <w:numId w:val="63"/>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Wellfleet’s Clinical Pharmacist utilizes base criteria and updates based on any new information released since the drug was last discussed at P&amp;T. If a </w:t>
            </w:r>
            <w:proofErr w:type="gramStart"/>
            <w:r w:rsidRPr="00540F00">
              <w:rPr>
                <w:rFonts w:ascii="Century Gothic" w:eastAsia="Times New Roman" w:hAnsi="Century Gothic" w:cs="Arial"/>
              </w:rPr>
              <w:t>base criteria</w:t>
            </w:r>
            <w:proofErr w:type="gramEnd"/>
            <w:r w:rsidRPr="00540F00">
              <w:rPr>
                <w:rFonts w:ascii="Century Gothic" w:eastAsia="Times New Roman" w:hAnsi="Century Gothic" w:cs="Arial"/>
              </w:rPr>
              <w:t xml:space="preserve"> is not available, the medical necessity criteria shall be based on FDA labeling information, relevant clinical treatment guidelines, peer-reviewed medical literature, and national compendia.</w:t>
            </w:r>
          </w:p>
          <w:p w14:paraId="5CACF562" w14:textId="77777777" w:rsidR="00AD53FD" w:rsidRPr="00540F00" w:rsidRDefault="00AD53FD" w:rsidP="00AD53FD">
            <w:pPr>
              <w:pStyle w:val="ListParagraph"/>
              <w:numPr>
                <w:ilvl w:val="1"/>
                <w:numId w:val="63"/>
              </w:numPr>
              <w:spacing w:after="0" w:line="240" w:lineRule="auto"/>
              <w:rPr>
                <w:rFonts w:ascii="Century Gothic" w:eastAsia="Times New Roman" w:hAnsi="Century Gothic" w:cs="Arial"/>
              </w:rPr>
            </w:pPr>
            <w:r w:rsidRPr="00540F00">
              <w:rPr>
                <w:rFonts w:ascii="Century Gothic" w:eastAsia="Times New Roman" w:hAnsi="Century Gothic" w:cs="Arial"/>
              </w:rPr>
              <w:t>Wellfleet’s Clinical Pharmacist utilizes the sources listed above in the creation of this criteria.</w:t>
            </w:r>
          </w:p>
          <w:p w14:paraId="724E9168" w14:textId="77777777" w:rsidR="00AD53FD" w:rsidRPr="00540F00" w:rsidRDefault="00AD53FD" w:rsidP="00AD53FD">
            <w:pPr>
              <w:pStyle w:val="ListParagraph"/>
              <w:numPr>
                <w:ilvl w:val="0"/>
                <w:numId w:val="63"/>
              </w:numPr>
              <w:spacing w:after="0" w:line="240" w:lineRule="auto"/>
              <w:rPr>
                <w:rFonts w:ascii="Century Gothic" w:eastAsia="Times New Roman" w:hAnsi="Century Gothic" w:cs="Arial"/>
              </w:rPr>
            </w:pPr>
            <w:r w:rsidRPr="00540F00">
              <w:rPr>
                <w:rFonts w:ascii="Century Gothic" w:eastAsia="Times New Roman" w:hAnsi="Century Gothic" w:cs="Arial"/>
              </w:rPr>
              <w:t>After finalization of the drug-specific medical necessity criteria, it is presented to the P&amp;T Committee for final approval prior to use.</w:t>
            </w:r>
          </w:p>
          <w:p w14:paraId="4B2D36B2" w14:textId="77777777" w:rsidR="00AD53FD" w:rsidRPr="00540F00" w:rsidRDefault="00AD53FD">
            <w:pPr>
              <w:pStyle w:val="ListParagraph"/>
              <w:rPr>
                <w:rFonts w:ascii="Century Gothic" w:eastAsia="Times New Roman" w:hAnsi="Century Gothic" w:cs="Arial"/>
              </w:rPr>
            </w:pPr>
          </w:p>
          <w:p w14:paraId="017B732A"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i/>
              </w:rPr>
              <w:t>Composition of the committee used to develop internal standards</w:t>
            </w:r>
            <w:r w:rsidRPr="00540F00">
              <w:rPr>
                <w:rFonts w:ascii="Century Gothic" w:eastAsia="Times New Roman" w:hAnsi="Century Gothic" w:cs="Arial"/>
              </w:rPr>
              <w:t>:</w:t>
            </w:r>
          </w:p>
          <w:p w14:paraId="77FDBA1E" w14:textId="77777777" w:rsidR="00AD53FD" w:rsidRPr="00540F00" w:rsidRDefault="00AD53FD" w:rsidP="00AD53FD">
            <w:pPr>
              <w:pStyle w:val="ListParagraph"/>
              <w:numPr>
                <w:ilvl w:val="0"/>
                <w:numId w:val="64"/>
              </w:numPr>
              <w:spacing w:after="0" w:line="240" w:lineRule="auto"/>
              <w:rPr>
                <w:rFonts w:ascii="Century Gothic" w:eastAsia="Times New Roman" w:hAnsi="Century Gothic" w:cs="Arial"/>
              </w:rPr>
            </w:pPr>
            <w:r w:rsidRPr="00540F00">
              <w:rPr>
                <w:rFonts w:ascii="Century Gothic" w:eastAsia="Times New Roman" w:hAnsi="Century Gothic" w:cs="Arial"/>
              </w:rPr>
              <w:t>Medical Necessity criteria is created by Wellfleet’s Clinical Pharmacist (PharmD., RPh)</w:t>
            </w:r>
          </w:p>
          <w:p w14:paraId="5BDA0304" w14:textId="77777777" w:rsidR="00AD53FD" w:rsidRPr="00540F00" w:rsidRDefault="00AD53FD" w:rsidP="00AD53FD">
            <w:pPr>
              <w:pStyle w:val="ListParagraph"/>
              <w:numPr>
                <w:ilvl w:val="0"/>
                <w:numId w:val="64"/>
              </w:numPr>
              <w:spacing w:after="0" w:line="240" w:lineRule="auto"/>
              <w:rPr>
                <w:rFonts w:ascii="Century Gothic" w:eastAsia="Times New Roman" w:hAnsi="Century Gothic" w:cs="Arial"/>
              </w:rPr>
            </w:pPr>
            <w:r w:rsidRPr="00540F00">
              <w:rPr>
                <w:rFonts w:ascii="Century Gothic" w:eastAsia="Times New Roman" w:hAnsi="Century Gothic" w:cs="Arial"/>
              </w:rPr>
              <w:t>Approval of criteria is done by Wellfleet’s P&amp;T Committee, composed of healthcare providers from varying specialties that covers a wide range of diagnoses and care settings. These providers must be in good standing with their licensing boards and have at least 5 years of experience in their current field. Examples of specialties represented on this committee: Family Medicine, Internal Medicine, Obstetrics/Gynecology, Pediatrics, Specialty Pharmacy, Psychiatry.</w:t>
            </w:r>
          </w:p>
          <w:p w14:paraId="56CF0A76" w14:textId="77777777" w:rsidR="00AD53FD" w:rsidRPr="00540F00" w:rsidRDefault="00AD53FD">
            <w:pPr>
              <w:rPr>
                <w:rFonts w:ascii="Century Gothic" w:eastAsia="Times New Roman" w:hAnsi="Century Gothic" w:cs="Arial"/>
                <w:i/>
              </w:rPr>
            </w:pPr>
          </w:p>
          <w:p w14:paraId="27D1180B" w14:textId="4EBD7F72" w:rsidR="00AD53FD" w:rsidRPr="00540F00" w:rsidRDefault="00AD53FD">
            <w:pPr>
              <w:rPr>
                <w:rFonts w:ascii="Century Gothic" w:eastAsia="Times New Roman" w:hAnsi="Century Gothic" w:cs="Arial"/>
              </w:rPr>
            </w:pPr>
            <w:r w:rsidRPr="00540F00">
              <w:rPr>
                <w:rFonts w:ascii="Century Gothic" w:eastAsia="Times New Roman" w:hAnsi="Century Gothic" w:cs="Arial"/>
                <w:i/>
              </w:rPr>
              <w:t>T</w:t>
            </w:r>
            <w:r w:rsidRPr="00540F00">
              <w:rPr>
                <w:rFonts w:ascii="Century Gothic" w:eastAsia="Times New Roman" w:hAnsi="Century Gothic" w:cs="Arial"/>
                <w:i/>
              </w:rPr>
              <w:t>he selection and use of external or independent experts</w:t>
            </w:r>
            <w:r w:rsidRPr="00540F00">
              <w:rPr>
                <w:rFonts w:ascii="Century Gothic" w:eastAsia="Times New Roman" w:hAnsi="Century Gothic" w:cs="Arial"/>
              </w:rPr>
              <w:t>:</w:t>
            </w:r>
          </w:p>
          <w:p w14:paraId="5F33393E" w14:textId="6550C4F8" w:rsidR="00AD53FD" w:rsidRPr="00540F00" w:rsidRDefault="00AD53FD" w:rsidP="00AD53FD">
            <w:pPr>
              <w:pStyle w:val="ListParagraph"/>
              <w:numPr>
                <w:ilvl w:val="0"/>
                <w:numId w:val="65"/>
              </w:numPr>
              <w:spacing w:after="0" w:line="240" w:lineRule="auto"/>
              <w:rPr>
                <w:rFonts w:ascii="Century Gothic" w:eastAsia="Times New Roman" w:hAnsi="Century Gothic" w:cs="Arial"/>
              </w:rPr>
            </w:pPr>
            <w:r w:rsidRPr="00540F00">
              <w:rPr>
                <w:rFonts w:ascii="Century Gothic" w:eastAsia="Times New Roman" w:hAnsi="Century Gothic" w:cs="Arial"/>
              </w:rPr>
              <w:t xml:space="preserve">The P&amp;T committee is composed of at least 80% </w:t>
            </w:r>
            <w:proofErr w:type="gramStart"/>
            <w:r w:rsidRPr="00540F00">
              <w:rPr>
                <w:rFonts w:ascii="Century Gothic" w:eastAsia="Times New Roman" w:hAnsi="Century Gothic" w:cs="Arial"/>
              </w:rPr>
              <w:t>external</w:t>
            </w:r>
            <w:proofErr w:type="gramEnd"/>
            <w:r w:rsidRPr="00540F00">
              <w:rPr>
                <w:rFonts w:ascii="Century Gothic" w:eastAsia="Times New Roman" w:hAnsi="Century Gothic" w:cs="Arial"/>
              </w:rPr>
              <w:t xml:space="preserve"> members that have no affiliation or employment with Wellfleet. These members are expected to disclose any Conflict of Interest, bias, etc. They are required to sign a </w:t>
            </w:r>
            <w:proofErr w:type="gramStart"/>
            <w:r w:rsidRPr="00540F00">
              <w:rPr>
                <w:rFonts w:ascii="Century Gothic" w:eastAsia="Times New Roman" w:hAnsi="Century Gothic" w:cs="Arial"/>
              </w:rPr>
              <w:t>Conflict of Interest</w:t>
            </w:r>
            <w:proofErr w:type="gramEnd"/>
            <w:r w:rsidRPr="00540F00">
              <w:rPr>
                <w:rFonts w:ascii="Century Gothic" w:eastAsia="Times New Roman" w:hAnsi="Century Gothic" w:cs="Arial"/>
              </w:rPr>
              <w:t xml:space="preserve"> statement annually.</w:t>
            </w:r>
          </w:p>
        </w:tc>
        <w:tc>
          <w:tcPr>
            <w:tcW w:w="2500" w:type="pct"/>
            <w:tcBorders>
              <w:top w:val="single" w:sz="4" w:space="0" w:color="auto"/>
              <w:left w:val="single" w:sz="4" w:space="0" w:color="auto"/>
              <w:bottom w:val="single" w:sz="4" w:space="0" w:color="auto"/>
              <w:right w:val="single" w:sz="4" w:space="0" w:color="auto"/>
            </w:tcBorders>
          </w:tcPr>
          <w:p w14:paraId="56EC66DD" w14:textId="2E7578E9" w:rsidR="00AD53FD" w:rsidRPr="00540F00" w:rsidRDefault="00AD53FD">
            <w:pPr>
              <w:rPr>
                <w:rFonts w:ascii="Century Gothic" w:eastAsia="Times New Roman" w:hAnsi="Century Gothic" w:cs="Arial"/>
              </w:rPr>
            </w:pPr>
            <w:r w:rsidRPr="00540F00">
              <w:rPr>
                <w:rFonts w:ascii="Century Gothic" w:eastAsia="Times New Roman" w:hAnsi="Century Gothic" w:cs="Arial"/>
                <w:b/>
                <w:i/>
              </w:rPr>
              <w:t>Step 4(a): Identify and define the processes and strategies used to develop internal Medical Necessity guidelines or modifications to external guidelines that are created by the Plan</w:t>
            </w:r>
            <w:r w:rsidRPr="00540F00">
              <w:rPr>
                <w:rFonts w:ascii="Century Gothic" w:eastAsia="Times New Roman" w:hAnsi="Century Gothic" w:cs="Arial"/>
              </w:rPr>
              <w:t>:</w:t>
            </w:r>
          </w:p>
          <w:p w14:paraId="311F6D09" w14:textId="4A150461" w:rsidR="00AD53FD" w:rsidRPr="00540F00" w:rsidRDefault="00AD53FD" w:rsidP="00AD53FD">
            <w:pPr>
              <w:pStyle w:val="BodyText"/>
              <w:spacing w:before="223" w:line="264" w:lineRule="auto"/>
              <w:rPr>
                <w:rFonts w:ascii="Century Gothic" w:eastAsiaTheme="minorHAnsi" w:hAnsi="Century Gothic" w:cs="Arial"/>
                <w:sz w:val="22"/>
                <w:szCs w:val="22"/>
              </w:rPr>
            </w:pPr>
            <w:r w:rsidRPr="00540F00">
              <w:rPr>
                <w:rFonts w:ascii="Century Gothic" w:hAnsi="Century Gothic" w:cs="Arial"/>
                <w:sz w:val="22"/>
                <w:szCs w:val="22"/>
              </w:rPr>
              <w:t xml:space="preserve">Medical Necessity considerations are built into drug specific Prior authorization criteria for prescription drugs and are analyzed semi-annually for parity. The same Off-Label policy and non-formulary drug exception policy, which are reviewed annually by the Pharmacy &amp; Therapeutics Committee, are used for both MH/SUD and M/S drugs. These policies can be found at https://wellfleetrx.com/students/formularies/. The same P&amp;T committee, comprised of a range of specialists, make decisions on appropriateness of medical necessity criteria based on the factors, sources, and evidentiary standards stated above. </w:t>
            </w:r>
          </w:p>
          <w:p w14:paraId="1DA6C66B"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i/>
              </w:rPr>
              <w:t>Key steps in the process for developing standards</w:t>
            </w:r>
            <w:r w:rsidRPr="00540F00">
              <w:rPr>
                <w:rFonts w:ascii="Century Gothic" w:eastAsia="Times New Roman" w:hAnsi="Century Gothic" w:cs="Arial"/>
              </w:rPr>
              <w:t>:</w:t>
            </w:r>
          </w:p>
          <w:p w14:paraId="2216A9AD" w14:textId="77777777" w:rsidR="00AD53FD" w:rsidRPr="00540F00" w:rsidRDefault="00AD53FD" w:rsidP="00AD53FD">
            <w:pPr>
              <w:pStyle w:val="ListParagraph"/>
              <w:numPr>
                <w:ilvl w:val="0"/>
                <w:numId w:val="66"/>
              </w:numPr>
              <w:spacing w:after="0" w:line="240" w:lineRule="auto"/>
              <w:rPr>
                <w:rFonts w:ascii="Century Gothic" w:eastAsia="Times New Roman" w:hAnsi="Century Gothic" w:cs="Arial"/>
              </w:rPr>
            </w:pPr>
            <w:r w:rsidRPr="00540F00">
              <w:rPr>
                <w:rFonts w:ascii="Century Gothic" w:eastAsia="Times New Roman" w:hAnsi="Century Gothic" w:cs="Arial"/>
              </w:rPr>
              <w:t>Same as M/S</w:t>
            </w:r>
          </w:p>
          <w:p w14:paraId="5A780B2B" w14:textId="77777777" w:rsidR="00AD53FD" w:rsidRPr="00540F00" w:rsidRDefault="00AD53FD">
            <w:pPr>
              <w:rPr>
                <w:rFonts w:ascii="Century Gothic" w:eastAsia="Times New Roman" w:hAnsi="Century Gothic" w:cs="Arial"/>
              </w:rPr>
            </w:pPr>
          </w:p>
          <w:p w14:paraId="4A5148BD" w14:textId="77777777" w:rsidR="00AD53FD" w:rsidRPr="00540F00" w:rsidRDefault="00AD53FD">
            <w:pPr>
              <w:rPr>
                <w:rFonts w:ascii="Century Gothic" w:eastAsia="Times New Roman" w:hAnsi="Century Gothic" w:cs="Arial"/>
              </w:rPr>
            </w:pPr>
          </w:p>
          <w:p w14:paraId="2B604584" w14:textId="77777777" w:rsidR="00AD53FD" w:rsidRPr="00540F00" w:rsidRDefault="00AD53FD">
            <w:pPr>
              <w:rPr>
                <w:rFonts w:ascii="Century Gothic" w:eastAsia="Times New Roman" w:hAnsi="Century Gothic" w:cs="Arial"/>
                <w:i/>
              </w:rPr>
            </w:pPr>
          </w:p>
          <w:p w14:paraId="27579E0A" w14:textId="77777777" w:rsidR="00AD53FD" w:rsidRPr="00540F00" w:rsidRDefault="00AD53FD">
            <w:pPr>
              <w:rPr>
                <w:rFonts w:ascii="Century Gothic" w:eastAsia="Times New Roman" w:hAnsi="Century Gothic" w:cs="Arial"/>
                <w:i/>
              </w:rPr>
            </w:pPr>
          </w:p>
          <w:p w14:paraId="6756AB3D" w14:textId="77777777" w:rsidR="00AD53FD" w:rsidRPr="00540F00" w:rsidRDefault="00AD53FD">
            <w:pPr>
              <w:rPr>
                <w:rFonts w:ascii="Century Gothic" w:eastAsia="Times New Roman" w:hAnsi="Century Gothic" w:cs="Arial"/>
                <w:i/>
              </w:rPr>
            </w:pPr>
          </w:p>
          <w:p w14:paraId="02F4398D" w14:textId="77777777" w:rsidR="00AD53FD" w:rsidRPr="00540F00" w:rsidRDefault="00AD53FD">
            <w:pPr>
              <w:rPr>
                <w:rFonts w:ascii="Century Gothic" w:eastAsia="Times New Roman" w:hAnsi="Century Gothic" w:cs="Arial"/>
                <w:i/>
              </w:rPr>
            </w:pPr>
          </w:p>
          <w:p w14:paraId="6E508965" w14:textId="77777777" w:rsidR="00AD53FD" w:rsidRPr="00540F00" w:rsidRDefault="00AD53FD">
            <w:pPr>
              <w:rPr>
                <w:rFonts w:ascii="Century Gothic" w:eastAsia="Times New Roman" w:hAnsi="Century Gothic" w:cs="Arial"/>
                <w:i/>
              </w:rPr>
            </w:pPr>
          </w:p>
          <w:p w14:paraId="22B3EA39" w14:textId="77777777" w:rsidR="00AD53FD" w:rsidRPr="00540F00" w:rsidRDefault="00AD53FD">
            <w:pPr>
              <w:rPr>
                <w:rFonts w:ascii="Century Gothic" w:eastAsia="Times New Roman" w:hAnsi="Century Gothic" w:cs="Arial"/>
                <w:i/>
              </w:rPr>
            </w:pPr>
          </w:p>
          <w:p w14:paraId="6B2D40EE" w14:textId="77777777" w:rsidR="00AD53FD" w:rsidRPr="00540F00" w:rsidRDefault="00AD53FD">
            <w:pPr>
              <w:rPr>
                <w:rFonts w:ascii="Century Gothic" w:eastAsia="Times New Roman" w:hAnsi="Century Gothic" w:cs="Arial"/>
                <w:i/>
              </w:rPr>
            </w:pPr>
          </w:p>
          <w:p w14:paraId="4220DB74" w14:textId="77777777" w:rsidR="00AD53FD" w:rsidRPr="00540F00" w:rsidRDefault="00AD53FD">
            <w:pPr>
              <w:rPr>
                <w:rFonts w:ascii="Century Gothic" w:eastAsia="Times New Roman" w:hAnsi="Century Gothic" w:cs="Arial"/>
                <w:i/>
              </w:rPr>
            </w:pPr>
          </w:p>
          <w:p w14:paraId="018FC7B0" w14:textId="77777777" w:rsidR="00AD53FD" w:rsidRPr="00540F00" w:rsidRDefault="00AD53FD">
            <w:pPr>
              <w:rPr>
                <w:rFonts w:ascii="Century Gothic" w:eastAsia="Times New Roman" w:hAnsi="Century Gothic" w:cs="Arial"/>
                <w:i/>
              </w:rPr>
            </w:pPr>
          </w:p>
          <w:p w14:paraId="03EC568D" w14:textId="77777777" w:rsidR="00AD53FD" w:rsidRPr="00540F00" w:rsidRDefault="00AD53FD">
            <w:pPr>
              <w:rPr>
                <w:rFonts w:ascii="Century Gothic" w:eastAsia="Times New Roman" w:hAnsi="Century Gothic" w:cs="Arial"/>
                <w:i/>
              </w:rPr>
            </w:pPr>
          </w:p>
          <w:p w14:paraId="1CC107C3" w14:textId="77777777" w:rsidR="00AD53FD" w:rsidRPr="00540F00" w:rsidRDefault="00AD53FD">
            <w:pPr>
              <w:rPr>
                <w:rFonts w:ascii="Century Gothic" w:eastAsia="Times New Roman" w:hAnsi="Century Gothic" w:cs="Arial"/>
                <w:i/>
              </w:rPr>
            </w:pPr>
          </w:p>
          <w:p w14:paraId="34538D14" w14:textId="77777777" w:rsidR="00AD53FD" w:rsidRPr="00540F00" w:rsidRDefault="00AD53FD">
            <w:pPr>
              <w:rPr>
                <w:rFonts w:ascii="Century Gothic" w:eastAsia="Times New Roman" w:hAnsi="Century Gothic" w:cs="Arial"/>
                <w:i/>
              </w:rPr>
            </w:pPr>
          </w:p>
          <w:p w14:paraId="04580C87" w14:textId="77777777" w:rsidR="00AD53FD" w:rsidRPr="00540F00" w:rsidRDefault="00AD53FD">
            <w:pPr>
              <w:rPr>
                <w:rFonts w:ascii="Century Gothic" w:eastAsia="Times New Roman" w:hAnsi="Century Gothic" w:cs="Arial"/>
                <w:i/>
              </w:rPr>
            </w:pPr>
          </w:p>
          <w:p w14:paraId="40E5411E" w14:textId="77777777" w:rsidR="00AD53FD" w:rsidRPr="00540F00" w:rsidRDefault="00AD53FD">
            <w:pPr>
              <w:rPr>
                <w:rFonts w:ascii="Century Gothic" w:eastAsia="Times New Roman" w:hAnsi="Century Gothic" w:cs="Arial"/>
                <w:i/>
              </w:rPr>
            </w:pPr>
          </w:p>
          <w:p w14:paraId="35FFE238" w14:textId="77777777" w:rsidR="00AD53FD" w:rsidRPr="00540F00" w:rsidRDefault="00AD53FD">
            <w:pPr>
              <w:rPr>
                <w:rFonts w:ascii="Century Gothic" w:eastAsia="Times New Roman" w:hAnsi="Century Gothic" w:cs="Arial"/>
                <w:i/>
              </w:rPr>
            </w:pPr>
          </w:p>
          <w:p w14:paraId="3496570F" w14:textId="77777777" w:rsidR="00AD53FD" w:rsidRPr="00540F00" w:rsidRDefault="00AD53FD">
            <w:pPr>
              <w:rPr>
                <w:rFonts w:ascii="Century Gothic" w:eastAsia="Times New Roman" w:hAnsi="Century Gothic" w:cs="Arial"/>
                <w:i/>
              </w:rPr>
            </w:pPr>
          </w:p>
          <w:p w14:paraId="0696B6B1" w14:textId="77777777" w:rsidR="00AD53FD" w:rsidRPr="00540F00" w:rsidRDefault="00AD53FD">
            <w:pPr>
              <w:rPr>
                <w:rFonts w:ascii="Century Gothic" w:eastAsia="Times New Roman" w:hAnsi="Century Gothic" w:cs="Arial"/>
                <w:i/>
              </w:rPr>
            </w:pPr>
          </w:p>
          <w:p w14:paraId="5EEB486A" w14:textId="77777777" w:rsidR="00AD53FD" w:rsidRPr="00540F00" w:rsidRDefault="00AD53FD">
            <w:pPr>
              <w:rPr>
                <w:rFonts w:ascii="Century Gothic" w:eastAsia="Times New Roman" w:hAnsi="Century Gothic" w:cs="Arial"/>
                <w:i/>
              </w:rPr>
            </w:pPr>
          </w:p>
          <w:p w14:paraId="0345F97B" w14:textId="77777777" w:rsidR="00AD53FD" w:rsidRPr="00540F00" w:rsidRDefault="00AD53FD">
            <w:pPr>
              <w:rPr>
                <w:rFonts w:ascii="Century Gothic" w:eastAsia="Times New Roman" w:hAnsi="Century Gothic" w:cs="Arial"/>
                <w:i/>
              </w:rPr>
            </w:pPr>
          </w:p>
          <w:p w14:paraId="2E809789" w14:textId="77777777" w:rsidR="00AD53FD" w:rsidRPr="00540F00" w:rsidRDefault="00AD53FD">
            <w:pPr>
              <w:rPr>
                <w:rFonts w:ascii="Century Gothic" w:eastAsia="Times New Roman" w:hAnsi="Century Gothic" w:cs="Arial"/>
                <w:i/>
              </w:rPr>
            </w:pPr>
          </w:p>
          <w:p w14:paraId="164230ED" w14:textId="77777777" w:rsidR="00AD53FD" w:rsidRPr="00540F00" w:rsidRDefault="00AD53FD">
            <w:pPr>
              <w:rPr>
                <w:rFonts w:ascii="Century Gothic" w:eastAsia="Times New Roman" w:hAnsi="Century Gothic" w:cs="Arial"/>
                <w:i/>
              </w:rPr>
            </w:pPr>
          </w:p>
          <w:p w14:paraId="045BA987" w14:textId="77777777" w:rsidR="00AD53FD" w:rsidRPr="00540F00" w:rsidRDefault="00AD53FD">
            <w:pPr>
              <w:rPr>
                <w:rFonts w:ascii="Century Gothic" w:eastAsia="Times New Roman" w:hAnsi="Century Gothic" w:cs="Arial"/>
                <w:i/>
              </w:rPr>
            </w:pPr>
          </w:p>
          <w:p w14:paraId="4B8340B6" w14:textId="77777777" w:rsidR="00AD53FD" w:rsidRPr="00540F00" w:rsidRDefault="00AD53FD">
            <w:pPr>
              <w:rPr>
                <w:rFonts w:ascii="Century Gothic" w:eastAsia="Times New Roman" w:hAnsi="Century Gothic" w:cs="Arial"/>
                <w:i/>
              </w:rPr>
            </w:pPr>
          </w:p>
          <w:p w14:paraId="05566774" w14:textId="77777777" w:rsidR="00AD53FD" w:rsidRPr="00540F00" w:rsidRDefault="00AD53FD">
            <w:pPr>
              <w:rPr>
                <w:rFonts w:ascii="Century Gothic" w:eastAsia="Times New Roman" w:hAnsi="Century Gothic" w:cs="Arial"/>
                <w:i/>
              </w:rPr>
            </w:pPr>
          </w:p>
          <w:p w14:paraId="5ECB7EBE" w14:textId="77777777" w:rsidR="00AD53FD" w:rsidRPr="00540F00" w:rsidRDefault="00AD53FD">
            <w:pPr>
              <w:rPr>
                <w:rFonts w:ascii="Century Gothic" w:eastAsia="Times New Roman" w:hAnsi="Century Gothic" w:cs="Arial"/>
                <w:i/>
              </w:rPr>
            </w:pPr>
          </w:p>
          <w:p w14:paraId="3FCA224E" w14:textId="77777777" w:rsidR="00AD53FD" w:rsidRPr="00540F00" w:rsidRDefault="00AD53FD">
            <w:pPr>
              <w:rPr>
                <w:rFonts w:ascii="Century Gothic" w:eastAsia="Times New Roman" w:hAnsi="Century Gothic" w:cs="Arial"/>
                <w:i/>
              </w:rPr>
            </w:pPr>
          </w:p>
          <w:p w14:paraId="4892D7A9" w14:textId="77777777" w:rsidR="00AD53FD" w:rsidRPr="00540F00" w:rsidRDefault="00AD53FD">
            <w:pPr>
              <w:rPr>
                <w:rFonts w:ascii="Century Gothic" w:eastAsia="Times New Roman" w:hAnsi="Century Gothic" w:cs="Arial"/>
                <w:i/>
              </w:rPr>
            </w:pPr>
          </w:p>
          <w:p w14:paraId="4468599E" w14:textId="77777777" w:rsidR="00AD53FD" w:rsidRPr="00540F00" w:rsidRDefault="00AD53FD">
            <w:pPr>
              <w:rPr>
                <w:rFonts w:ascii="Century Gothic" w:eastAsia="Times New Roman" w:hAnsi="Century Gothic" w:cs="Arial"/>
                <w:i/>
              </w:rPr>
            </w:pPr>
          </w:p>
          <w:p w14:paraId="7242D976" w14:textId="77777777" w:rsidR="00AD53FD" w:rsidRPr="00540F00" w:rsidRDefault="00AD53FD">
            <w:pPr>
              <w:rPr>
                <w:rFonts w:ascii="Century Gothic" w:eastAsia="Times New Roman" w:hAnsi="Century Gothic" w:cs="Arial"/>
                <w:i/>
              </w:rPr>
            </w:pPr>
          </w:p>
          <w:p w14:paraId="099D869F" w14:textId="77777777" w:rsidR="00AD53FD" w:rsidRPr="00540F00" w:rsidRDefault="00AD53FD">
            <w:pPr>
              <w:rPr>
                <w:rFonts w:ascii="Century Gothic" w:eastAsia="Times New Roman" w:hAnsi="Century Gothic" w:cs="Arial"/>
                <w:i/>
              </w:rPr>
            </w:pPr>
          </w:p>
          <w:p w14:paraId="308D5BE7" w14:textId="77777777" w:rsidR="00AD53FD" w:rsidRPr="00540F00" w:rsidRDefault="00AD53FD">
            <w:pPr>
              <w:rPr>
                <w:rFonts w:ascii="Century Gothic" w:eastAsia="Times New Roman" w:hAnsi="Century Gothic" w:cs="Arial"/>
                <w:i/>
              </w:rPr>
            </w:pPr>
          </w:p>
          <w:p w14:paraId="6554E822" w14:textId="77777777" w:rsidR="00AD53FD" w:rsidRPr="00540F00" w:rsidRDefault="00AD53FD">
            <w:pPr>
              <w:rPr>
                <w:rFonts w:ascii="Century Gothic" w:eastAsia="Times New Roman" w:hAnsi="Century Gothic" w:cs="Arial"/>
                <w:i/>
              </w:rPr>
            </w:pPr>
          </w:p>
          <w:p w14:paraId="72E72AEB" w14:textId="77777777" w:rsidR="00AD53FD" w:rsidRPr="00540F00" w:rsidRDefault="00AD53FD">
            <w:pPr>
              <w:rPr>
                <w:rFonts w:ascii="Century Gothic" w:eastAsia="Times New Roman" w:hAnsi="Century Gothic" w:cs="Arial"/>
                <w:i/>
              </w:rPr>
            </w:pPr>
          </w:p>
          <w:p w14:paraId="56F1C096" w14:textId="77777777" w:rsidR="00AD53FD" w:rsidRPr="00540F00" w:rsidRDefault="00AD53FD">
            <w:pPr>
              <w:rPr>
                <w:rFonts w:ascii="Century Gothic" w:eastAsia="Times New Roman" w:hAnsi="Century Gothic" w:cs="Arial"/>
                <w:i/>
              </w:rPr>
            </w:pPr>
          </w:p>
          <w:p w14:paraId="3455AE49" w14:textId="77777777" w:rsidR="00AD53FD" w:rsidRPr="00540F00" w:rsidRDefault="00AD53FD">
            <w:pPr>
              <w:rPr>
                <w:rFonts w:ascii="Century Gothic" w:eastAsia="Times New Roman" w:hAnsi="Century Gothic" w:cs="Arial"/>
                <w:i/>
              </w:rPr>
            </w:pPr>
          </w:p>
          <w:p w14:paraId="22435FF4" w14:textId="77777777" w:rsidR="00AD53FD" w:rsidRPr="00540F00" w:rsidRDefault="00AD53FD">
            <w:pPr>
              <w:rPr>
                <w:rFonts w:ascii="Century Gothic" w:eastAsia="Times New Roman" w:hAnsi="Century Gothic" w:cs="Arial"/>
                <w:i/>
              </w:rPr>
            </w:pPr>
          </w:p>
          <w:p w14:paraId="548FD39C" w14:textId="77777777" w:rsidR="00AD53FD" w:rsidRPr="00540F00" w:rsidRDefault="00AD53FD">
            <w:pPr>
              <w:rPr>
                <w:rFonts w:ascii="Century Gothic" w:eastAsia="Times New Roman" w:hAnsi="Century Gothic" w:cs="Arial"/>
                <w:i/>
              </w:rPr>
            </w:pPr>
          </w:p>
          <w:p w14:paraId="576B5DD7" w14:textId="77777777" w:rsidR="00AD53FD" w:rsidRPr="00540F00" w:rsidRDefault="00AD53FD">
            <w:pPr>
              <w:rPr>
                <w:rFonts w:ascii="Century Gothic" w:eastAsia="Times New Roman" w:hAnsi="Century Gothic" w:cs="Arial"/>
                <w:i/>
              </w:rPr>
            </w:pPr>
          </w:p>
          <w:p w14:paraId="7B4233E3" w14:textId="77777777" w:rsidR="00AD53FD" w:rsidRPr="00540F00" w:rsidRDefault="00AD53FD">
            <w:pPr>
              <w:rPr>
                <w:rFonts w:ascii="Century Gothic" w:eastAsia="Times New Roman" w:hAnsi="Century Gothic" w:cs="Arial"/>
                <w:i/>
              </w:rPr>
            </w:pPr>
          </w:p>
          <w:p w14:paraId="35CD7929" w14:textId="77777777" w:rsidR="00AD53FD" w:rsidRPr="00540F00" w:rsidRDefault="00AD53FD">
            <w:pPr>
              <w:rPr>
                <w:rFonts w:ascii="Century Gothic" w:eastAsia="Times New Roman" w:hAnsi="Century Gothic" w:cs="Arial"/>
                <w:i/>
              </w:rPr>
            </w:pPr>
          </w:p>
          <w:p w14:paraId="26ADF0BD" w14:textId="77777777" w:rsidR="00AD53FD" w:rsidRPr="00540F00" w:rsidRDefault="00AD53FD">
            <w:pPr>
              <w:rPr>
                <w:rFonts w:ascii="Century Gothic" w:eastAsia="Times New Roman" w:hAnsi="Century Gothic" w:cs="Arial"/>
                <w:i/>
              </w:rPr>
            </w:pPr>
          </w:p>
          <w:p w14:paraId="79F94A23" w14:textId="77777777" w:rsidR="00AD53FD" w:rsidRPr="00540F00" w:rsidRDefault="00AD53FD">
            <w:pPr>
              <w:rPr>
                <w:rFonts w:ascii="Century Gothic" w:eastAsia="Times New Roman" w:hAnsi="Century Gothic" w:cs="Arial"/>
                <w:i/>
              </w:rPr>
            </w:pPr>
          </w:p>
          <w:p w14:paraId="6B9E2BDB"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i/>
              </w:rPr>
              <w:t>Composition of the committee used to develop internal standards</w:t>
            </w:r>
            <w:r w:rsidRPr="00540F00">
              <w:rPr>
                <w:rFonts w:ascii="Century Gothic" w:eastAsia="Times New Roman" w:hAnsi="Century Gothic" w:cs="Arial"/>
              </w:rPr>
              <w:t>:</w:t>
            </w:r>
          </w:p>
          <w:p w14:paraId="2E05563D" w14:textId="77777777" w:rsidR="00AD53FD" w:rsidRPr="00540F00" w:rsidRDefault="00AD53FD" w:rsidP="00AD53FD">
            <w:pPr>
              <w:pStyle w:val="ListParagraph"/>
              <w:numPr>
                <w:ilvl w:val="0"/>
                <w:numId w:val="66"/>
              </w:numPr>
              <w:spacing w:after="0" w:line="240" w:lineRule="auto"/>
              <w:rPr>
                <w:rFonts w:ascii="Century Gothic" w:eastAsia="Times New Roman" w:hAnsi="Century Gothic" w:cs="Arial"/>
              </w:rPr>
            </w:pPr>
            <w:r w:rsidRPr="00540F00">
              <w:rPr>
                <w:rFonts w:ascii="Century Gothic" w:eastAsia="Times New Roman" w:hAnsi="Century Gothic" w:cs="Arial"/>
              </w:rPr>
              <w:t>Same as M/S</w:t>
            </w:r>
          </w:p>
          <w:p w14:paraId="1DCA285F" w14:textId="77777777" w:rsidR="00AD53FD" w:rsidRPr="00540F00" w:rsidRDefault="00AD53FD">
            <w:pPr>
              <w:rPr>
                <w:rFonts w:ascii="Century Gothic" w:eastAsia="Times New Roman" w:hAnsi="Century Gothic" w:cs="Arial"/>
              </w:rPr>
            </w:pPr>
          </w:p>
          <w:p w14:paraId="6F7B7F8D" w14:textId="77777777" w:rsidR="00AD53FD" w:rsidRPr="00540F00" w:rsidRDefault="00AD53FD">
            <w:pPr>
              <w:rPr>
                <w:rFonts w:ascii="Century Gothic" w:eastAsia="Times New Roman" w:hAnsi="Century Gothic" w:cs="Arial"/>
              </w:rPr>
            </w:pPr>
          </w:p>
          <w:p w14:paraId="6FD94984" w14:textId="77777777" w:rsidR="00AD53FD" w:rsidRPr="00540F00" w:rsidRDefault="00AD53FD">
            <w:pPr>
              <w:rPr>
                <w:rFonts w:ascii="Century Gothic" w:eastAsia="Times New Roman" w:hAnsi="Century Gothic" w:cs="Arial"/>
                <w:i/>
              </w:rPr>
            </w:pPr>
          </w:p>
          <w:p w14:paraId="7DE6528C" w14:textId="77777777" w:rsidR="00AD53FD" w:rsidRPr="00540F00" w:rsidRDefault="00AD53FD">
            <w:pPr>
              <w:rPr>
                <w:rFonts w:ascii="Century Gothic" w:eastAsia="Times New Roman" w:hAnsi="Century Gothic" w:cs="Arial"/>
                <w:i/>
              </w:rPr>
            </w:pPr>
          </w:p>
          <w:p w14:paraId="07F9BFF8" w14:textId="77777777" w:rsidR="00AD53FD" w:rsidRPr="00540F00" w:rsidRDefault="00AD53FD">
            <w:pPr>
              <w:rPr>
                <w:rFonts w:ascii="Century Gothic" w:eastAsia="Times New Roman" w:hAnsi="Century Gothic" w:cs="Arial"/>
                <w:i/>
              </w:rPr>
            </w:pPr>
          </w:p>
          <w:p w14:paraId="1346515B" w14:textId="77777777" w:rsidR="00AD53FD" w:rsidRPr="00540F00" w:rsidRDefault="00AD53FD">
            <w:pPr>
              <w:rPr>
                <w:rFonts w:ascii="Century Gothic" w:eastAsia="Times New Roman" w:hAnsi="Century Gothic" w:cs="Arial"/>
                <w:i/>
              </w:rPr>
            </w:pPr>
          </w:p>
          <w:p w14:paraId="0BABD5BF" w14:textId="77777777" w:rsidR="00AD53FD" w:rsidRPr="00540F00" w:rsidRDefault="00AD53FD">
            <w:pPr>
              <w:rPr>
                <w:rFonts w:ascii="Century Gothic" w:eastAsia="Times New Roman" w:hAnsi="Century Gothic" w:cs="Arial"/>
                <w:i/>
              </w:rPr>
            </w:pPr>
          </w:p>
          <w:p w14:paraId="769515DE" w14:textId="77777777" w:rsidR="00AD53FD" w:rsidRPr="00540F00" w:rsidRDefault="00AD53FD">
            <w:pPr>
              <w:rPr>
                <w:rFonts w:ascii="Century Gothic" w:eastAsia="Times New Roman" w:hAnsi="Century Gothic" w:cs="Arial"/>
                <w:i/>
              </w:rPr>
            </w:pPr>
          </w:p>
          <w:p w14:paraId="75C7DA47" w14:textId="77777777" w:rsidR="00AD53FD" w:rsidRDefault="00AD53FD">
            <w:pPr>
              <w:rPr>
                <w:rFonts w:ascii="Century Gothic" w:eastAsia="Times New Roman" w:hAnsi="Century Gothic" w:cs="Arial"/>
                <w:i/>
              </w:rPr>
            </w:pPr>
          </w:p>
          <w:p w14:paraId="0C8F737B" w14:textId="77777777" w:rsidR="00540F00" w:rsidRDefault="00540F00">
            <w:pPr>
              <w:rPr>
                <w:rFonts w:ascii="Century Gothic" w:eastAsia="Times New Roman" w:hAnsi="Century Gothic" w:cs="Arial"/>
                <w:i/>
              </w:rPr>
            </w:pPr>
          </w:p>
          <w:p w14:paraId="2594DFF7" w14:textId="77777777" w:rsidR="00540F00" w:rsidRDefault="00540F00">
            <w:pPr>
              <w:rPr>
                <w:rFonts w:ascii="Century Gothic" w:eastAsia="Times New Roman" w:hAnsi="Century Gothic" w:cs="Arial"/>
                <w:i/>
              </w:rPr>
            </w:pPr>
          </w:p>
          <w:p w14:paraId="2C832A82" w14:textId="77777777" w:rsidR="00540F00" w:rsidRDefault="00540F00">
            <w:pPr>
              <w:rPr>
                <w:rFonts w:ascii="Century Gothic" w:eastAsia="Times New Roman" w:hAnsi="Century Gothic" w:cs="Arial"/>
                <w:i/>
              </w:rPr>
            </w:pPr>
          </w:p>
          <w:p w14:paraId="60000924" w14:textId="77777777" w:rsidR="00540F00" w:rsidRPr="00540F00" w:rsidRDefault="00540F00">
            <w:pPr>
              <w:rPr>
                <w:rFonts w:ascii="Century Gothic" w:eastAsia="Times New Roman" w:hAnsi="Century Gothic" w:cs="Arial"/>
                <w:i/>
              </w:rPr>
            </w:pPr>
          </w:p>
          <w:p w14:paraId="5A33B104" w14:textId="77777777" w:rsidR="00AD53FD" w:rsidRPr="00540F00" w:rsidRDefault="00AD53FD">
            <w:pPr>
              <w:rPr>
                <w:rFonts w:ascii="Century Gothic" w:eastAsia="Times New Roman" w:hAnsi="Century Gothic" w:cs="Arial"/>
                <w:i/>
              </w:rPr>
            </w:pPr>
          </w:p>
          <w:p w14:paraId="0C1ABBE0"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i/>
              </w:rPr>
              <w:t>The selection and use of external or independent experts</w:t>
            </w:r>
            <w:r w:rsidRPr="00540F00">
              <w:rPr>
                <w:rFonts w:ascii="Century Gothic" w:eastAsia="Times New Roman" w:hAnsi="Century Gothic" w:cs="Arial"/>
              </w:rPr>
              <w:t>:</w:t>
            </w:r>
          </w:p>
          <w:p w14:paraId="78A6368C" w14:textId="77777777" w:rsidR="00AD53FD" w:rsidRPr="00540F00" w:rsidRDefault="00AD53FD" w:rsidP="00AD53FD">
            <w:pPr>
              <w:pStyle w:val="ListParagraph"/>
              <w:numPr>
                <w:ilvl w:val="0"/>
                <w:numId w:val="66"/>
              </w:numPr>
              <w:spacing w:after="0" w:line="240" w:lineRule="auto"/>
              <w:rPr>
                <w:rFonts w:ascii="Century Gothic" w:eastAsia="Times New Roman" w:hAnsi="Century Gothic" w:cs="Arial"/>
              </w:rPr>
            </w:pPr>
            <w:r w:rsidRPr="00540F00">
              <w:rPr>
                <w:rFonts w:ascii="Century Gothic" w:eastAsia="Times New Roman" w:hAnsi="Century Gothic" w:cs="Arial"/>
              </w:rPr>
              <w:t>Same as M/S</w:t>
            </w:r>
          </w:p>
          <w:p w14:paraId="1B877F37" w14:textId="77777777" w:rsidR="00AD53FD" w:rsidRPr="00540F00" w:rsidRDefault="00AD53FD">
            <w:pPr>
              <w:rPr>
                <w:rFonts w:ascii="Century Gothic" w:eastAsia="Times New Roman" w:hAnsi="Century Gothic" w:cs="Arial"/>
              </w:rPr>
            </w:pPr>
          </w:p>
          <w:p w14:paraId="38281941" w14:textId="77777777" w:rsidR="00AD53FD" w:rsidRPr="00540F00" w:rsidRDefault="00AD53FD">
            <w:pPr>
              <w:rPr>
                <w:rFonts w:ascii="Century Gothic" w:eastAsia="Times New Roman" w:hAnsi="Century Gothic" w:cs="Arial"/>
              </w:rPr>
            </w:pPr>
          </w:p>
          <w:p w14:paraId="755D95E5"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 </w:t>
            </w:r>
          </w:p>
        </w:tc>
      </w:tr>
      <w:tr w:rsidR="00AD53FD" w14:paraId="0B1AC909" w14:textId="77777777" w:rsidTr="00AD53FD">
        <w:trPr>
          <w:trHeight w:val="1720"/>
        </w:trPr>
        <w:tc>
          <w:tcPr>
            <w:tcW w:w="2500" w:type="pct"/>
            <w:tcBorders>
              <w:top w:val="single" w:sz="4" w:space="0" w:color="auto"/>
              <w:left w:val="single" w:sz="4" w:space="0" w:color="auto"/>
              <w:bottom w:val="single" w:sz="4" w:space="0" w:color="auto"/>
              <w:right w:val="single" w:sz="4" w:space="0" w:color="auto"/>
            </w:tcBorders>
          </w:tcPr>
          <w:p w14:paraId="02A0CCB5" w14:textId="66A151DB" w:rsidR="00AD53FD" w:rsidRPr="00540F00" w:rsidRDefault="00AD53FD">
            <w:pPr>
              <w:rPr>
                <w:rFonts w:ascii="Century Gothic" w:eastAsia="Times New Roman" w:hAnsi="Century Gothic" w:cs="Arial"/>
                <w:b/>
                <w:i/>
              </w:rPr>
            </w:pPr>
            <w:r w:rsidRPr="00540F00">
              <w:rPr>
                <w:rFonts w:ascii="Century Gothic" w:eastAsia="Times New Roman" w:hAnsi="Century Gothic" w:cs="Arial"/>
                <w:b/>
                <w:i/>
              </w:rPr>
              <w:t xml:space="preserve">Step 4(b): Identify and define the factors and processes that are used to monitor and evaluate the efficacy and validity of Medical Necessity </w:t>
            </w:r>
            <w:proofErr w:type="gramStart"/>
            <w:r w:rsidRPr="00540F00">
              <w:rPr>
                <w:rFonts w:ascii="Century Gothic" w:eastAsia="Times New Roman" w:hAnsi="Century Gothic" w:cs="Arial"/>
                <w:b/>
                <w:i/>
              </w:rPr>
              <w:t>guidelines</w:t>
            </w:r>
            <w:proofErr w:type="gramEnd"/>
          </w:p>
          <w:p w14:paraId="6DD9F539" w14:textId="77777777" w:rsidR="00AD53FD" w:rsidRPr="00540F00" w:rsidRDefault="00AD53FD">
            <w:pPr>
              <w:pStyle w:val="BodyText"/>
              <w:spacing w:before="223" w:line="264" w:lineRule="auto"/>
              <w:rPr>
                <w:rFonts w:ascii="Century Gothic" w:eastAsiaTheme="minorHAnsi" w:hAnsi="Century Gothic" w:cs="Arial"/>
                <w:b/>
                <w:bCs/>
                <w:sz w:val="22"/>
                <w:szCs w:val="22"/>
              </w:rPr>
            </w:pPr>
            <w:r w:rsidRPr="00540F00">
              <w:rPr>
                <w:rFonts w:ascii="Century Gothic" w:hAnsi="Century Gothic" w:cs="Arial"/>
                <w:b/>
                <w:bCs/>
                <w:sz w:val="22"/>
                <w:szCs w:val="22"/>
              </w:rPr>
              <w:t>Policy Review Analysis:</w:t>
            </w:r>
          </w:p>
          <w:p w14:paraId="5DA171C3" w14:textId="77777777" w:rsidR="00AD53FD" w:rsidRPr="00540F00" w:rsidRDefault="00AD53FD">
            <w:pPr>
              <w:pStyle w:val="BodyText"/>
              <w:spacing w:before="223" w:line="264" w:lineRule="auto"/>
              <w:rPr>
                <w:rFonts w:ascii="Century Gothic" w:hAnsi="Century Gothic" w:cs="Arial"/>
                <w:sz w:val="22"/>
                <w:szCs w:val="22"/>
              </w:rPr>
            </w:pPr>
            <w:r w:rsidRPr="00540F00">
              <w:rPr>
                <w:rFonts w:ascii="Century Gothic" w:hAnsi="Century Gothic" w:cs="Arial"/>
                <w:sz w:val="22"/>
                <w:szCs w:val="22"/>
              </w:rPr>
              <w:t xml:space="preserve">In review of the MH/SUD in comparison to M/S written policies to determine medical necessity, a sample set of 6 policies from each classification were reviewed. Both sets of PA criteria included the following: FDA indication, age restrictions, and alignment with package insert. The MH/SUD policies included language to ensure a patient was monitored within a setting for safety (example: REMS program). Some of the policies required the medication to be prescribed by or in consultation with a particular physician specialty.  One instance, a policy did require a trial of two medications from different classes before the requested drug could be used. This language was in alignment with the inclusion criteria used from the clinical trial that was used for FDA approval. The M/S policies required certain clinical parameters to be met for Prior Authorization. Examples </w:t>
            </w:r>
            <w:proofErr w:type="gramStart"/>
            <w:r w:rsidRPr="00540F00">
              <w:rPr>
                <w:rFonts w:ascii="Century Gothic" w:hAnsi="Century Gothic" w:cs="Arial"/>
                <w:sz w:val="22"/>
                <w:szCs w:val="22"/>
              </w:rPr>
              <w:t>include:</w:t>
            </w:r>
            <w:proofErr w:type="gramEnd"/>
            <w:r w:rsidRPr="00540F00">
              <w:rPr>
                <w:rFonts w:ascii="Century Gothic" w:hAnsi="Century Gothic" w:cs="Arial"/>
                <w:sz w:val="22"/>
                <w:szCs w:val="22"/>
              </w:rPr>
              <w:t xml:space="preserve"> hepatitis C viral load, blood eosinophil level, lesion volume/count for multiple sclerosis, confirmation of gene mutation), included trial and failure language of 1 to 2 agents prior to the use of the requested agent, included a list of reasons why the medication would not be approved, and listed renewal criteria required for each subsequent approval. Some of the policies required the medication to be prescribed by or in consultation with a particular physician specialty.  Sources used to develop PA criteria for both MH/SUD and M/S policies included FDA approved prescriber Information, nationally recognized compendia, and established clinical guidelines. This analysis finds the two sets of criteria (MH/SUD and M/S) to be similar in clinical requirements for medical necessity. All policies were reviewed and approved by the same P&amp;T Committee.</w:t>
            </w:r>
          </w:p>
          <w:p w14:paraId="15961F88" w14:textId="77777777" w:rsidR="00AD53FD" w:rsidRPr="00540F00" w:rsidRDefault="00AD53FD">
            <w:pPr>
              <w:rPr>
                <w:rFonts w:ascii="Century Gothic" w:eastAsia="Times New Roman" w:hAnsi="Century Gothic" w:cs="Arial"/>
                <w:b/>
                <w:bCs/>
              </w:rPr>
            </w:pPr>
            <w:r w:rsidRPr="00540F00">
              <w:rPr>
                <w:rFonts w:ascii="Century Gothic" w:eastAsia="Times New Roman" w:hAnsi="Century Gothic" w:cs="Arial"/>
                <w:b/>
                <w:bCs/>
              </w:rPr>
              <w:t>Ongoing Monitoring Activities:</w:t>
            </w:r>
          </w:p>
          <w:p w14:paraId="4A5C0EB6" w14:textId="651E9FFC" w:rsidR="00AD53FD" w:rsidRPr="00540F00" w:rsidRDefault="00AD53FD">
            <w:pPr>
              <w:rPr>
                <w:rFonts w:ascii="Century Gothic" w:eastAsia="Times New Roman" w:hAnsi="Century Gothic" w:cs="Arial"/>
              </w:rPr>
            </w:pPr>
            <w:r w:rsidRPr="00540F00">
              <w:rPr>
                <w:rFonts w:ascii="Century Gothic" w:eastAsia="Times New Roman" w:hAnsi="Century Gothic" w:cs="Arial"/>
              </w:rPr>
              <w:t xml:space="preserve">All policies are reviewed and updated based on clinical </w:t>
            </w:r>
            <w:proofErr w:type="gramStart"/>
            <w:r w:rsidRPr="00540F00">
              <w:rPr>
                <w:rFonts w:ascii="Century Gothic" w:eastAsia="Times New Roman" w:hAnsi="Century Gothic" w:cs="Arial"/>
              </w:rPr>
              <w:t>guideline</w:t>
            </w:r>
            <w:proofErr w:type="gramEnd"/>
            <w:r w:rsidRPr="00540F00">
              <w:rPr>
                <w:rFonts w:ascii="Century Gothic" w:eastAsia="Times New Roman" w:hAnsi="Century Gothic" w:cs="Arial"/>
              </w:rPr>
              <w:t xml:space="preserve">, FDA labeling, safety, </w:t>
            </w:r>
            <w:proofErr w:type="spellStart"/>
            <w:r w:rsidRPr="00540F00">
              <w:rPr>
                <w:rFonts w:ascii="Century Gothic" w:eastAsia="Times New Roman" w:hAnsi="Century Gothic" w:cs="Arial"/>
              </w:rPr>
              <w:t>etc</w:t>
            </w:r>
            <w:proofErr w:type="spellEnd"/>
            <w:r w:rsidRPr="00540F00">
              <w:rPr>
                <w:rFonts w:ascii="Century Gothic" w:eastAsia="Times New Roman" w:hAnsi="Century Gothic" w:cs="Arial"/>
              </w:rPr>
              <w:t xml:space="preserve"> updates at least annually. A quarter of all medical necessity criteria are reviewed each quarter, with updates brought to the P&amp;T Committee for approval. Selection of the criteria to be updated each quarter is based strictly on </w:t>
            </w:r>
            <w:proofErr w:type="gramStart"/>
            <w:r w:rsidRPr="00540F00">
              <w:rPr>
                <w:rFonts w:ascii="Century Gothic" w:eastAsia="Times New Roman" w:hAnsi="Century Gothic" w:cs="Arial"/>
              </w:rPr>
              <w:t>last</w:t>
            </w:r>
            <w:proofErr w:type="gramEnd"/>
            <w:r w:rsidRPr="00540F00">
              <w:rPr>
                <w:rFonts w:ascii="Century Gothic" w:eastAsia="Times New Roman" w:hAnsi="Century Gothic" w:cs="Arial"/>
              </w:rPr>
              <w:t xml:space="preserve"> update date to ensure an even selection of updates and that each guideline is reviewed at an appropriate time.</w:t>
            </w:r>
          </w:p>
          <w:p w14:paraId="48AD2998" w14:textId="77777777" w:rsidR="00AD53FD" w:rsidRPr="00540F00" w:rsidRDefault="00AD53FD">
            <w:pPr>
              <w:rPr>
                <w:rFonts w:ascii="Century Gothic" w:eastAsia="Times New Roman" w:hAnsi="Century Gothic" w:cs="Arial"/>
              </w:rPr>
            </w:pPr>
            <w:r w:rsidRPr="00540F00">
              <w:rPr>
                <w:rFonts w:ascii="Century Gothic" w:eastAsia="Times New Roman" w:hAnsi="Century Gothic" w:cs="Arial"/>
                <w:b/>
                <w:bCs/>
              </w:rPr>
              <w:t>IRR scores:</w:t>
            </w:r>
            <w:r w:rsidRPr="00540F00">
              <w:rPr>
                <w:rFonts w:ascii="Century Gothic" w:eastAsia="Times New Roman" w:hAnsi="Century Gothic" w:cs="Arial"/>
              </w:rPr>
              <w:t xml:space="preserve"> Interrater reliability results for reviews performed in 2022 were 93.94% for M/S reviews.</w:t>
            </w:r>
          </w:p>
        </w:tc>
        <w:tc>
          <w:tcPr>
            <w:tcW w:w="2500" w:type="pct"/>
            <w:tcBorders>
              <w:top w:val="single" w:sz="4" w:space="0" w:color="auto"/>
              <w:left w:val="single" w:sz="4" w:space="0" w:color="auto"/>
              <w:bottom w:val="single" w:sz="4" w:space="0" w:color="auto"/>
              <w:right w:val="single" w:sz="4" w:space="0" w:color="auto"/>
            </w:tcBorders>
          </w:tcPr>
          <w:p w14:paraId="3E128B47" w14:textId="55CE30C0" w:rsidR="00AD53FD" w:rsidRPr="00540F00" w:rsidRDefault="00AD53FD">
            <w:pPr>
              <w:rPr>
                <w:rFonts w:ascii="Century Gothic" w:eastAsia="Times New Roman" w:hAnsi="Century Gothic" w:cs="Arial"/>
                <w:b/>
                <w:i/>
              </w:rPr>
            </w:pPr>
            <w:r w:rsidRPr="00540F00">
              <w:rPr>
                <w:rFonts w:ascii="Century Gothic" w:eastAsia="Times New Roman" w:hAnsi="Century Gothic" w:cs="Arial"/>
                <w:b/>
                <w:i/>
              </w:rPr>
              <w:t xml:space="preserve">Step 4(b): Identify and define the factors and processes that are used to monitor and evaluate the efficacy and validity of Medical Necessity </w:t>
            </w:r>
            <w:proofErr w:type="gramStart"/>
            <w:r w:rsidRPr="00540F00">
              <w:rPr>
                <w:rFonts w:ascii="Century Gothic" w:eastAsia="Times New Roman" w:hAnsi="Century Gothic" w:cs="Arial"/>
                <w:b/>
                <w:i/>
              </w:rPr>
              <w:t>guidelines</w:t>
            </w:r>
            <w:proofErr w:type="gramEnd"/>
          </w:p>
          <w:p w14:paraId="6875FFED" w14:textId="77777777" w:rsidR="00AD53FD" w:rsidRPr="00540F00" w:rsidRDefault="00AD53FD">
            <w:pPr>
              <w:pStyle w:val="BodyText"/>
              <w:spacing w:before="223" w:line="264" w:lineRule="auto"/>
              <w:rPr>
                <w:rFonts w:ascii="Century Gothic" w:eastAsiaTheme="minorHAnsi" w:hAnsi="Century Gothic" w:cs="Arial"/>
                <w:b/>
                <w:bCs/>
                <w:sz w:val="22"/>
                <w:szCs w:val="22"/>
              </w:rPr>
            </w:pPr>
            <w:r w:rsidRPr="00540F00">
              <w:rPr>
                <w:rFonts w:ascii="Century Gothic" w:hAnsi="Century Gothic" w:cs="Arial"/>
                <w:b/>
                <w:bCs/>
                <w:sz w:val="22"/>
                <w:szCs w:val="22"/>
              </w:rPr>
              <w:t>Policy Review Analysis:</w:t>
            </w:r>
          </w:p>
          <w:p w14:paraId="11E81ED6" w14:textId="77777777" w:rsidR="00AD53FD" w:rsidRPr="00540F00" w:rsidRDefault="00AD53FD">
            <w:pPr>
              <w:rPr>
                <w:rFonts w:ascii="Century Gothic" w:eastAsia="Times New Roman" w:hAnsi="Century Gothic" w:cs="Arial"/>
                <w:bCs/>
                <w:iCs/>
              </w:rPr>
            </w:pPr>
            <w:r w:rsidRPr="00540F00">
              <w:rPr>
                <w:rFonts w:ascii="Century Gothic" w:eastAsia="Times New Roman" w:hAnsi="Century Gothic" w:cs="Arial"/>
                <w:bCs/>
                <w:iCs/>
              </w:rPr>
              <w:t xml:space="preserve">Same as M/S </w:t>
            </w:r>
          </w:p>
          <w:p w14:paraId="10F3B543" w14:textId="77777777" w:rsidR="00AD53FD" w:rsidRPr="00540F00" w:rsidRDefault="00AD53FD">
            <w:pPr>
              <w:rPr>
                <w:rFonts w:ascii="Century Gothic" w:eastAsia="Times New Roman" w:hAnsi="Century Gothic" w:cs="Arial"/>
                <w:bCs/>
                <w:iCs/>
              </w:rPr>
            </w:pPr>
          </w:p>
          <w:p w14:paraId="707D83AF" w14:textId="77777777" w:rsidR="00AD53FD" w:rsidRPr="00540F00" w:rsidRDefault="00AD53FD">
            <w:pPr>
              <w:rPr>
                <w:rFonts w:ascii="Century Gothic" w:eastAsia="Times New Roman" w:hAnsi="Century Gothic" w:cs="Arial"/>
                <w:bCs/>
                <w:iCs/>
              </w:rPr>
            </w:pPr>
          </w:p>
          <w:p w14:paraId="1A31C132" w14:textId="77777777" w:rsidR="00AD53FD" w:rsidRPr="00540F00" w:rsidRDefault="00AD53FD">
            <w:pPr>
              <w:rPr>
                <w:rFonts w:ascii="Century Gothic" w:eastAsia="Times New Roman" w:hAnsi="Century Gothic" w:cs="Arial"/>
                <w:bCs/>
                <w:iCs/>
              </w:rPr>
            </w:pPr>
          </w:p>
          <w:p w14:paraId="01CD4EF2" w14:textId="77777777" w:rsidR="00AD53FD" w:rsidRPr="00540F00" w:rsidRDefault="00AD53FD">
            <w:pPr>
              <w:rPr>
                <w:rFonts w:ascii="Century Gothic" w:eastAsia="Times New Roman" w:hAnsi="Century Gothic" w:cs="Arial"/>
                <w:bCs/>
                <w:iCs/>
              </w:rPr>
            </w:pPr>
          </w:p>
          <w:p w14:paraId="3C5A3ABC" w14:textId="77777777" w:rsidR="00AD53FD" w:rsidRPr="00540F00" w:rsidRDefault="00AD53FD">
            <w:pPr>
              <w:rPr>
                <w:rFonts w:ascii="Century Gothic" w:eastAsia="Times New Roman" w:hAnsi="Century Gothic" w:cs="Arial"/>
                <w:bCs/>
                <w:iCs/>
              </w:rPr>
            </w:pPr>
          </w:p>
          <w:p w14:paraId="6C8C0734" w14:textId="77777777" w:rsidR="00AD53FD" w:rsidRPr="00540F00" w:rsidRDefault="00AD53FD">
            <w:pPr>
              <w:rPr>
                <w:rFonts w:ascii="Century Gothic" w:eastAsia="Times New Roman" w:hAnsi="Century Gothic" w:cs="Arial"/>
                <w:bCs/>
                <w:iCs/>
              </w:rPr>
            </w:pPr>
          </w:p>
          <w:p w14:paraId="52FD3C9E" w14:textId="77777777" w:rsidR="00AD53FD" w:rsidRPr="00540F00" w:rsidRDefault="00AD53FD">
            <w:pPr>
              <w:rPr>
                <w:rFonts w:ascii="Century Gothic" w:eastAsia="Times New Roman" w:hAnsi="Century Gothic" w:cs="Arial"/>
                <w:bCs/>
                <w:iCs/>
              </w:rPr>
            </w:pPr>
          </w:p>
          <w:p w14:paraId="580B546F" w14:textId="77777777" w:rsidR="00AD53FD" w:rsidRPr="00540F00" w:rsidRDefault="00AD53FD">
            <w:pPr>
              <w:rPr>
                <w:rFonts w:ascii="Century Gothic" w:eastAsia="Times New Roman" w:hAnsi="Century Gothic" w:cs="Arial"/>
                <w:bCs/>
                <w:iCs/>
              </w:rPr>
            </w:pPr>
          </w:p>
          <w:p w14:paraId="45B31AC3" w14:textId="77777777" w:rsidR="00AD53FD" w:rsidRPr="00540F00" w:rsidRDefault="00AD53FD">
            <w:pPr>
              <w:rPr>
                <w:rFonts w:ascii="Century Gothic" w:eastAsia="Times New Roman" w:hAnsi="Century Gothic" w:cs="Arial"/>
                <w:bCs/>
                <w:iCs/>
              </w:rPr>
            </w:pPr>
          </w:p>
          <w:p w14:paraId="03168F06" w14:textId="77777777" w:rsidR="00AD53FD" w:rsidRPr="00540F00" w:rsidRDefault="00AD53FD">
            <w:pPr>
              <w:rPr>
                <w:rFonts w:ascii="Century Gothic" w:eastAsia="Times New Roman" w:hAnsi="Century Gothic" w:cs="Arial"/>
                <w:bCs/>
                <w:iCs/>
              </w:rPr>
            </w:pPr>
          </w:p>
          <w:p w14:paraId="1379870A" w14:textId="77777777" w:rsidR="00AD53FD" w:rsidRPr="00540F00" w:rsidRDefault="00AD53FD">
            <w:pPr>
              <w:rPr>
                <w:rFonts w:ascii="Century Gothic" w:eastAsia="Times New Roman" w:hAnsi="Century Gothic" w:cs="Arial"/>
                <w:bCs/>
                <w:iCs/>
              </w:rPr>
            </w:pPr>
          </w:p>
          <w:p w14:paraId="383E4468" w14:textId="77777777" w:rsidR="00AD53FD" w:rsidRPr="00540F00" w:rsidRDefault="00AD53FD">
            <w:pPr>
              <w:rPr>
                <w:rFonts w:ascii="Century Gothic" w:eastAsia="Times New Roman" w:hAnsi="Century Gothic" w:cs="Arial"/>
                <w:bCs/>
                <w:iCs/>
              </w:rPr>
            </w:pPr>
          </w:p>
          <w:p w14:paraId="47D315FC" w14:textId="77777777" w:rsidR="00AD53FD" w:rsidRPr="00540F00" w:rsidRDefault="00AD53FD">
            <w:pPr>
              <w:rPr>
                <w:rFonts w:ascii="Century Gothic" w:eastAsia="Times New Roman" w:hAnsi="Century Gothic" w:cs="Arial"/>
                <w:bCs/>
                <w:iCs/>
              </w:rPr>
            </w:pPr>
          </w:p>
          <w:p w14:paraId="07FF33FA" w14:textId="77777777" w:rsidR="00AD53FD" w:rsidRPr="00540F00" w:rsidRDefault="00AD53FD">
            <w:pPr>
              <w:rPr>
                <w:rFonts w:ascii="Century Gothic" w:eastAsia="Times New Roman" w:hAnsi="Century Gothic" w:cs="Arial"/>
                <w:bCs/>
                <w:iCs/>
              </w:rPr>
            </w:pPr>
          </w:p>
          <w:p w14:paraId="64799F9C" w14:textId="77777777" w:rsidR="00AD53FD" w:rsidRPr="00540F00" w:rsidRDefault="00AD53FD">
            <w:pPr>
              <w:rPr>
                <w:rFonts w:ascii="Century Gothic" w:eastAsia="Times New Roman" w:hAnsi="Century Gothic" w:cs="Arial"/>
                <w:bCs/>
                <w:iCs/>
              </w:rPr>
            </w:pPr>
          </w:p>
          <w:p w14:paraId="28ED20CE" w14:textId="77777777" w:rsidR="00AD53FD" w:rsidRPr="00540F00" w:rsidRDefault="00AD53FD">
            <w:pPr>
              <w:rPr>
                <w:rFonts w:ascii="Century Gothic" w:eastAsia="Times New Roman" w:hAnsi="Century Gothic" w:cs="Arial"/>
                <w:bCs/>
                <w:iCs/>
              </w:rPr>
            </w:pPr>
          </w:p>
          <w:p w14:paraId="2C103F5A" w14:textId="77777777" w:rsidR="00AD53FD" w:rsidRPr="00540F00" w:rsidRDefault="00AD53FD">
            <w:pPr>
              <w:rPr>
                <w:rFonts w:ascii="Century Gothic" w:eastAsia="Times New Roman" w:hAnsi="Century Gothic" w:cs="Arial"/>
                <w:bCs/>
                <w:iCs/>
              </w:rPr>
            </w:pPr>
          </w:p>
          <w:p w14:paraId="065B223C" w14:textId="77777777" w:rsidR="00AD53FD" w:rsidRPr="00540F00" w:rsidRDefault="00AD53FD">
            <w:pPr>
              <w:rPr>
                <w:rFonts w:ascii="Century Gothic" w:eastAsia="Times New Roman" w:hAnsi="Century Gothic" w:cs="Arial"/>
                <w:bCs/>
                <w:iCs/>
              </w:rPr>
            </w:pPr>
          </w:p>
          <w:p w14:paraId="713D16A9" w14:textId="77777777" w:rsidR="00AD53FD" w:rsidRPr="00540F00" w:rsidRDefault="00AD53FD">
            <w:pPr>
              <w:rPr>
                <w:rFonts w:ascii="Century Gothic" w:eastAsia="Times New Roman" w:hAnsi="Century Gothic" w:cs="Arial"/>
                <w:bCs/>
                <w:iCs/>
              </w:rPr>
            </w:pPr>
          </w:p>
          <w:p w14:paraId="0E27716E" w14:textId="77777777" w:rsidR="00AD53FD" w:rsidRPr="00540F00" w:rsidRDefault="00AD53FD">
            <w:pPr>
              <w:rPr>
                <w:rFonts w:ascii="Century Gothic" w:eastAsia="Times New Roman" w:hAnsi="Century Gothic" w:cs="Arial"/>
                <w:bCs/>
                <w:iCs/>
              </w:rPr>
            </w:pPr>
          </w:p>
          <w:p w14:paraId="5358AEE5" w14:textId="77777777" w:rsidR="00AD53FD" w:rsidRPr="00540F00" w:rsidRDefault="00AD53FD">
            <w:pPr>
              <w:rPr>
                <w:rFonts w:ascii="Century Gothic" w:eastAsia="Times New Roman" w:hAnsi="Century Gothic" w:cs="Arial"/>
                <w:bCs/>
                <w:iCs/>
              </w:rPr>
            </w:pPr>
          </w:p>
          <w:p w14:paraId="371C3C68" w14:textId="77777777" w:rsidR="00AD53FD" w:rsidRPr="00540F00" w:rsidRDefault="00AD53FD">
            <w:pPr>
              <w:rPr>
                <w:rFonts w:ascii="Century Gothic" w:eastAsia="Times New Roman" w:hAnsi="Century Gothic" w:cs="Arial"/>
                <w:bCs/>
                <w:iCs/>
              </w:rPr>
            </w:pPr>
          </w:p>
          <w:p w14:paraId="0CA3E8DF" w14:textId="77777777" w:rsidR="00AD53FD" w:rsidRPr="00540F00" w:rsidRDefault="00AD53FD">
            <w:pPr>
              <w:rPr>
                <w:rFonts w:ascii="Century Gothic" w:eastAsia="Times New Roman" w:hAnsi="Century Gothic" w:cs="Arial"/>
                <w:bCs/>
                <w:iCs/>
              </w:rPr>
            </w:pPr>
          </w:p>
          <w:p w14:paraId="5A141DAB" w14:textId="77777777" w:rsidR="00AD53FD" w:rsidRPr="00540F00" w:rsidRDefault="00AD53FD">
            <w:pPr>
              <w:rPr>
                <w:rFonts w:ascii="Century Gothic" w:eastAsia="Times New Roman" w:hAnsi="Century Gothic" w:cs="Arial"/>
                <w:bCs/>
                <w:iCs/>
              </w:rPr>
            </w:pPr>
          </w:p>
          <w:p w14:paraId="4F9B3A72" w14:textId="77777777" w:rsidR="00AD53FD" w:rsidRDefault="00AD53FD">
            <w:pPr>
              <w:rPr>
                <w:rFonts w:ascii="Century Gothic" w:eastAsia="Times New Roman" w:hAnsi="Century Gothic" w:cs="Arial"/>
                <w:bCs/>
                <w:iCs/>
              </w:rPr>
            </w:pPr>
          </w:p>
          <w:p w14:paraId="75F11D45" w14:textId="77777777" w:rsidR="00540F00" w:rsidRDefault="00540F00">
            <w:pPr>
              <w:rPr>
                <w:rFonts w:ascii="Century Gothic" w:eastAsia="Times New Roman" w:hAnsi="Century Gothic" w:cs="Arial"/>
                <w:bCs/>
                <w:iCs/>
              </w:rPr>
            </w:pPr>
          </w:p>
          <w:p w14:paraId="282654F9" w14:textId="77777777" w:rsidR="00540F00" w:rsidRDefault="00540F00">
            <w:pPr>
              <w:rPr>
                <w:rFonts w:ascii="Century Gothic" w:eastAsia="Times New Roman" w:hAnsi="Century Gothic" w:cs="Arial"/>
                <w:bCs/>
                <w:iCs/>
              </w:rPr>
            </w:pPr>
          </w:p>
          <w:p w14:paraId="68737BC7" w14:textId="77777777" w:rsidR="00540F00" w:rsidRPr="00540F00" w:rsidRDefault="00540F00">
            <w:pPr>
              <w:rPr>
                <w:rFonts w:ascii="Century Gothic" w:eastAsia="Times New Roman" w:hAnsi="Century Gothic" w:cs="Arial"/>
                <w:bCs/>
                <w:iCs/>
              </w:rPr>
            </w:pPr>
          </w:p>
          <w:p w14:paraId="111DF45E" w14:textId="77777777" w:rsidR="00AD53FD" w:rsidRPr="00540F00" w:rsidRDefault="00AD53FD">
            <w:pPr>
              <w:rPr>
                <w:rFonts w:ascii="Century Gothic" w:eastAsia="Times New Roman" w:hAnsi="Century Gothic" w:cs="Arial"/>
                <w:b/>
                <w:bCs/>
              </w:rPr>
            </w:pPr>
            <w:r w:rsidRPr="00540F00">
              <w:rPr>
                <w:rFonts w:ascii="Century Gothic" w:eastAsia="Times New Roman" w:hAnsi="Century Gothic" w:cs="Arial"/>
                <w:b/>
                <w:bCs/>
              </w:rPr>
              <w:t>Ongoing Monitoring Activities:</w:t>
            </w:r>
          </w:p>
          <w:p w14:paraId="45348287" w14:textId="77777777" w:rsidR="00AD53FD" w:rsidRPr="00540F00" w:rsidRDefault="00AD53FD">
            <w:pPr>
              <w:rPr>
                <w:rFonts w:ascii="Century Gothic" w:eastAsia="Times New Roman" w:hAnsi="Century Gothic" w:cs="Arial"/>
                <w:bCs/>
                <w:iCs/>
              </w:rPr>
            </w:pPr>
            <w:r w:rsidRPr="00540F00">
              <w:rPr>
                <w:rFonts w:ascii="Century Gothic" w:eastAsia="Times New Roman" w:hAnsi="Century Gothic" w:cs="Arial"/>
                <w:bCs/>
                <w:iCs/>
              </w:rPr>
              <w:t>Same as M/S</w:t>
            </w:r>
          </w:p>
          <w:p w14:paraId="0A8060B8" w14:textId="77777777" w:rsidR="00AD53FD" w:rsidRPr="00540F00" w:rsidRDefault="00AD53FD">
            <w:pPr>
              <w:rPr>
                <w:rFonts w:ascii="Century Gothic" w:eastAsia="Times New Roman" w:hAnsi="Century Gothic" w:cs="Arial"/>
                <w:bCs/>
                <w:iCs/>
              </w:rPr>
            </w:pPr>
          </w:p>
          <w:p w14:paraId="7A0B26FE" w14:textId="77777777" w:rsidR="00AD53FD" w:rsidRPr="00540F00" w:rsidRDefault="00AD53FD">
            <w:pPr>
              <w:rPr>
                <w:rFonts w:ascii="Century Gothic" w:eastAsia="Times New Roman" w:hAnsi="Century Gothic" w:cs="Arial"/>
                <w:bCs/>
                <w:iCs/>
              </w:rPr>
            </w:pPr>
          </w:p>
          <w:p w14:paraId="18E3C84D" w14:textId="77777777" w:rsidR="00AD53FD" w:rsidRDefault="00AD53FD">
            <w:pPr>
              <w:rPr>
                <w:rFonts w:ascii="Century Gothic" w:eastAsia="Times New Roman" w:hAnsi="Century Gothic" w:cs="Arial"/>
                <w:bCs/>
                <w:iCs/>
              </w:rPr>
            </w:pPr>
          </w:p>
          <w:p w14:paraId="46B2FD62" w14:textId="77777777" w:rsidR="00540F00" w:rsidRPr="00540F00" w:rsidRDefault="00540F00">
            <w:pPr>
              <w:rPr>
                <w:rFonts w:ascii="Century Gothic" w:eastAsia="Times New Roman" w:hAnsi="Century Gothic" w:cs="Arial"/>
                <w:bCs/>
                <w:iCs/>
              </w:rPr>
            </w:pPr>
          </w:p>
          <w:p w14:paraId="7587E658" w14:textId="77777777" w:rsidR="00AD53FD" w:rsidRPr="00540F00" w:rsidRDefault="00AD53FD">
            <w:pPr>
              <w:rPr>
                <w:rFonts w:ascii="Century Gothic" w:eastAsia="Times New Roman" w:hAnsi="Century Gothic" w:cs="Arial"/>
                <w:bCs/>
                <w:iCs/>
              </w:rPr>
            </w:pPr>
          </w:p>
          <w:p w14:paraId="0D079202" w14:textId="77777777" w:rsidR="00AD53FD" w:rsidRPr="00540F00" w:rsidRDefault="00AD53FD">
            <w:pPr>
              <w:rPr>
                <w:rFonts w:ascii="Century Gothic" w:eastAsia="Times New Roman" w:hAnsi="Century Gothic" w:cs="Arial"/>
                <w:bCs/>
                <w:iCs/>
              </w:rPr>
            </w:pPr>
          </w:p>
          <w:p w14:paraId="3ED1A103" w14:textId="50C30834" w:rsidR="00AD53FD" w:rsidRPr="00540F00" w:rsidRDefault="00AD53FD">
            <w:pPr>
              <w:rPr>
                <w:rFonts w:ascii="Century Gothic" w:hAnsi="Century Gothic" w:cs="Arial"/>
              </w:rPr>
            </w:pPr>
            <w:r w:rsidRPr="00540F00">
              <w:rPr>
                <w:rFonts w:ascii="Century Gothic" w:eastAsia="Times New Roman" w:hAnsi="Century Gothic" w:cs="Arial"/>
                <w:b/>
                <w:iCs/>
              </w:rPr>
              <w:t>IRR scores</w:t>
            </w:r>
            <w:r w:rsidRPr="00540F00">
              <w:rPr>
                <w:rFonts w:ascii="Century Gothic" w:eastAsia="Times New Roman" w:hAnsi="Century Gothic" w:cs="Arial"/>
                <w:bCs/>
                <w:iCs/>
              </w:rPr>
              <w:t xml:space="preserve">: </w:t>
            </w:r>
            <w:r w:rsidRPr="00540F00">
              <w:rPr>
                <w:rFonts w:ascii="Century Gothic" w:hAnsi="Century Gothic" w:cs="Arial"/>
              </w:rPr>
              <w:t>Interrater reliability results for reviews performed in 2022 were 90.53% for MH/SUD reviews.</w:t>
            </w:r>
          </w:p>
        </w:tc>
      </w:tr>
      <w:tr w:rsidR="00AD53FD" w14:paraId="6B0B5AD0" w14:textId="77777777" w:rsidTr="00AD53FD">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F02B0" w14:textId="77777777" w:rsidR="00AD53FD" w:rsidRPr="00540F00" w:rsidRDefault="00AD53FD">
            <w:pPr>
              <w:rPr>
                <w:rFonts w:ascii="Century Gothic" w:eastAsia="Times New Roman" w:hAnsi="Century Gothic" w:cs="Arial"/>
                <w:b/>
                <w:bCs/>
              </w:rPr>
            </w:pPr>
            <w:r w:rsidRPr="00540F00">
              <w:rPr>
                <w:rFonts w:ascii="Century Gothic" w:eastAsia="Times New Roman" w:hAnsi="Century Gothic" w:cs="Arial"/>
                <w:b/>
                <w:bCs/>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540F00">
              <w:rPr>
                <w:rFonts w:ascii="Century Gothic" w:eastAsia="Times New Roman" w:hAnsi="Century Gothic" w:cs="Arial"/>
                <w:b/>
                <w:bCs/>
              </w:rPr>
              <w:t>section</w:t>
            </w:r>
            <w:proofErr w:type="gramEnd"/>
          </w:p>
          <w:p w14:paraId="7836D80D" w14:textId="77777777" w:rsidR="00AD53FD" w:rsidRPr="00540F00" w:rsidRDefault="00AD53FD" w:rsidP="00AD53FD">
            <w:pPr>
              <w:pStyle w:val="ListParagraph"/>
              <w:numPr>
                <w:ilvl w:val="0"/>
                <w:numId w:val="62"/>
              </w:numPr>
              <w:spacing w:after="0" w:line="240" w:lineRule="auto"/>
              <w:rPr>
                <w:rFonts w:ascii="Century Gothic" w:eastAsia="Times New Roman" w:hAnsi="Century Gothic" w:cs="Arial"/>
                <w:bCs/>
                <w:i/>
              </w:rPr>
            </w:pPr>
            <w:r w:rsidRPr="00540F00">
              <w:rPr>
                <w:rFonts w:ascii="Century Gothic" w:eastAsia="Times New Roman" w:hAnsi="Century Gothic" w:cs="Arial"/>
                <w:bCs/>
                <w:i/>
              </w:rPr>
              <w:t>This discussion should include citations to any specific evidence considered and any results of analyses indicating that the plan or coverage is or is not in compliance with MHPAEA</w:t>
            </w:r>
            <w:r w:rsidRPr="00540F00">
              <w:rPr>
                <w:rStyle w:val="FootnoteReference"/>
                <w:rFonts w:ascii="Century Gothic" w:eastAsia="Times New Roman" w:hAnsi="Century Gothic" w:cs="Arial"/>
                <w:bCs/>
                <w:i/>
              </w:rPr>
              <w:footnoteReference w:id="15"/>
            </w:r>
          </w:p>
        </w:tc>
      </w:tr>
      <w:tr w:rsidR="00AD53FD" w14:paraId="0B53164E" w14:textId="77777777" w:rsidTr="00AD53FD">
        <w:trPr>
          <w:trHeight w:val="1988"/>
        </w:trPr>
        <w:tc>
          <w:tcPr>
            <w:tcW w:w="5000" w:type="pct"/>
            <w:gridSpan w:val="2"/>
            <w:tcBorders>
              <w:top w:val="single" w:sz="4" w:space="0" w:color="auto"/>
              <w:left w:val="single" w:sz="4" w:space="0" w:color="auto"/>
              <w:bottom w:val="single" w:sz="4" w:space="0" w:color="auto"/>
              <w:right w:val="single" w:sz="4" w:space="0" w:color="auto"/>
            </w:tcBorders>
          </w:tcPr>
          <w:p w14:paraId="2DA7D393" w14:textId="77777777" w:rsidR="00AD53FD" w:rsidRPr="00540F00" w:rsidRDefault="00AD53FD">
            <w:pPr>
              <w:rPr>
                <w:rFonts w:ascii="Century Gothic" w:eastAsia="Times New Roman" w:hAnsi="Century Gothic" w:cs="Arial"/>
              </w:rPr>
            </w:pPr>
          </w:p>
          <w:p w14:paraId="5131FE81" w14:textId="62EC725E" w:rsidR="00AD53FD" w:rsidRPr="00540F00" w:rsidRDefault="00AD53FD">
            <w:pPr>
              <w:rPr>
                <w:rFonts w:ascii="Century Gothic" w:hAnsi="Century Gothic" w:cs="Arial"/>
              </w:rPr>
            </w:pPr>
            <w:r w:rsidRPr="00540F00">
              <w:rPr>
                <w:rFonts w:ascii="Century Gothic" w:eastAsia="Times New Roman" w:hAnsi="Century Gothic" w:cs="Arial"/>
                <w:b/>
                <w:bCs/>
              </w:rPr>
              <w:t>As written</w:t>
            </w:r>
            <w:r w:rsidRPr="00540F00">
              <w:rPr>
                <w:rFonts w:ascii="Century Gothic" w:eastAsia="Times New Roman" w:hAnsi="Century Gothic" w:cs="Arial"/>
              </w:rPr>
              <w:t xml:space="preserve">: As stated in Step 1, for both MH/SUD and M/S services, all benefits and services requiring Prior Authorization are subject to medical necessity criteria development. As demonstrated in Steps 2 and 3, the factors used to determine whether to develop or adopt a medical necessity policy are identical for MH/SUD and M/S services. The evidentiary standards are also the same, though the sources differ slightly for MH/SUD services, as </w:t>
            </w:r>
            <w:r w:rsidRPr="00540F00">
              <w:rPr>
                <w:rFonts w:ascii="Century Gothic" w:hAnsi="Century Gothic" w:cs="Arial"/>
              </w:rPr>
              <w:t xml:space="preserve">ASAM criteria or APA treatment guidelines are reviewed to determine whether a particular factor’s evidentiary standards </w:t>
            </w:r>
            <w:proofErr w:type="gramStart"/>
            <w:r w:rsidRPr="00540F00">
              <w:rPr>
                <w:rFonts w:ascii="Century Gothic" w:hAnsi="Century Gothic" w:cs="Arial"/>
              </w:rPr>
              <w:t>has</w:t>
            </w:r>
            <w:proofErr w:type="gramEnd"/>
            <w:r w:rsidRPr="00540F00">
              <w:rPr>
                <w:rFonts w:ascii="Century Gothic" w:hAnsi="Century Gothic" w:cs="Arial"/>
              </w:rPr>
              <w:t xml:space="preserve"> been met. Although these sources are only consulted for MH/SUD services, this difference is nonetheless parity compliant because these sources are nationally recognized industry standard clinical resources specifically targeted for MH/SUD conditions. Thus, the benefits subject to medical necessity criteria and the factors, sources, and evidentiary standards used to determine medical necessity criteria development for MH/SUD and M/S services are comparable. </w:t>
            </w:r>
          </w:p>
          <w:p w14:paraId="68F41DBB" w14:textId="23EC689A" w:rsidR="00AD53FD" w:rsidRPr="00540F00" w:rsidRDefault="00AD53FD" w:rsidP="00AD53FD">
            <w:pPr>
              <w:spacing w:line="280" w:lineRule="exact"/>
              <w:rPr>
                <w:rFonts w:ascii="Century Gothic" w:eastAsia="Times New Roman" w:hAnsi="Century Gothic" w:cs="Arial"/>
                <w:bCs/>
              </w:rPr>
            </w:pPr>
            <w:r w:rsidRPr="00540F00">
              <w:rPr>
                <w:rFonts w:ascii="Century Gothic" w:eastAsia="Times New Roman" w:hAnsi="Century Gothic" w:cs="Arial"/>
                <w:bCs/>
              </w:rPr>
              <w:t xml:space="preserve">Thus, we conclude that the processes, strategies, evidentiary standards, and other factors used to apply </w:t>
            </w:r>
            <w:r w:rsidRPr="00540F00">
              <w:rPr>
                <w:rFonts w:ascii="Century Gothic" w:hAnsi="Century Gothic" w:cs="Arial"/>
                <w:bCs/>
              </w:rPr>
              <w:t>Medical Necessity Criteria Development</w:t>
            </w:r>
            <w:r w:rsidRPr="00540F00">
              <w:rPr>
                <w:rFonts w:ascii="Century Gothic" w:eastAsia="Times New Roman" w:hAnsi="Century Gothic" w:cs="Arial"/>
                <w:bCs/>
              </w:rPr>
              <w:t xml:space="preserve"> to MH/SUD drugs, </w:t>
            </w:r>
            <w:r w:rsidRPr="00540F00">
              <w:rPr>
                <w:rFonts w:ascii="Century Gothic" w:eastAsia="Times New Roman" w:hAnsi="Century Gothic" w:cs="Arial"/>
                <w:bCs/>
                <w:i/>
                <w:u w:val="single"/>
              </w:rPr>
              <w:t>as written</w:t>
            </w:r>
            <w:r w:rsidRPr="00540F00">
              <w:rPr>
                <w:rFonts w:ascii="Century Gothic" w:eastAsia="Times New Roman" w:hAnsi="Century Gothic" w:cs="Arial"/>
                <w:bCs/>
              </w:rPr>
              <w:t xml:space="preserve">, are comparable to, and are applied no more stringently than, the processes, strategies, evidentiary standards, and other factors used to apply </w:t>
            </w:r>
            <w:r w:rsidRPr="00540F00">
              <w:rPr>
                <w:rFonts w:ascii="Century Gothic" w:hAnsi="Century Gothic" w:cs="Arial"/>
                <w:bCs/>
              </w:rPr>
              <w:t>Medical Necessity Criteria Development</w:t>
            </w:r>
            <w:r w:rsidRPr="00540F00">
              <w:rPr>
                <w:rFonts w:ascii="Century Gothic" w:eastAsia="Times New Roman" w:hAnsi="Century Gothic" w:cs="Arial"/>
                <w:bCs/>
              </w:rPr>
              <w:t xml:space="preserve"> to M/S drugs.</w:t>
            </w:r>
          </w:p>
          <w:p w14:paraId="519B1E49" w14:textId="3F75975D" w:rsidR="00AD53FD" w:rsidRPr="00540F00" w:rsidRDefault="00AD53FD">
            <w:pPr>
              <w:rPr>
                <w:rFonts w:ascii="Century Gothic" w:eastAsia="Times New Roman" w:hAnsi="Century Gothic" w:cs="Arial"/>
                <w:bCs/>
              </w:rPr>
            </w:pPr>
            <w:r w:rsidRPr="00540F00">
              <w:rPr>
                <w:rFonts w:ascii="Century Gothic" w:eastAsia="Times New Roman" w:hAnsi="Century Gothic" w:cs="Arial"/>
                <w:b/>
                <w:bCs/>
              </w:rPr>
              <w:t>In operation</w:t>
            </w:r>
            <w:r w:rsidRPr="00540F00">
              <w:rPr>
                <w:rFonts w:ascii="Century Gothic" w:eastAsia="Times New Roman" w:hAnsi="Century Gothic" w:cs="Arial"/>
              </w:rPr>
              <w:t xml:space="preserve">: Wellfleet conducted a medical necessity policy review analysis as further detailed in Step 4 and found the sets of criteria for MH/SUD and M/S drugs to have comparable clinical requirements for medical necessity. All policies are reviewed and updated based on clinical </w:t>
            </w:r>
            <w:proofErr w:type="gramStart"/>
            <w:r w:rsidRPr="00540F00">
              <w:rPr>
                <w:rFonts w:ascii="Century Gothic" w:eastAsia="Times New Roman" w:hAnsi="Century Gothic" w:cs="Arial"/>
              </w:rPr>
              <w:t>guideline</w:t>
            </w:r>
            <w:proofErr w:type="gramEnd"/>
            <w:r w:rsidRPr="00540F00">
              <w:rPr>
                <w:rFonts w:ascii="Century Gothic" w:eastAsia="Times New Roman" w:hAnsi="Century Gothic" w:cs="Arial"/>
              </w:rPr>
              <w:t xml:space="preserve">, FDA labeling, safety, </w:t>
            </w:r>
            <w:proofErr w:type="spellStart"/>
            <w:r w:rsidRPr="00540F00">
              <w:rPr>
                <w:rFonts w:ascii="Century Gothic" w:eastAsia="Times New Roman" w:hAnsi="Century Gothic" w:cs="Arial"/>
              </w:rPr>
              <w:t>etc</w:t>
            </w:r>
            <w:proofErr w:type="spellEnd"/>
            <w:r w:rsidRPr="00540F00">
              <w:rPr>
                <w:rFonts w:ascii="Century Gothic" w:eastAsia="Times New Roman" w:hAnsi="Century Gothic" w:cs="Arial"/>
              </w:rPr>
              <w:t xml:space="preserve"> updates at least annually. A quarter of all medical necessity criteria are reviewed each quarter, with updates brought to the P&amp;T Committee for approval. In addition, IRR scores were comparable for both MH/SUD and M/S drugs and were above 90%. </w:t>
            </w:r>
            <w:proofErr w:type="gramStart"/>
            <w:r w:rsidRPr="00540F00">
              <w:rPr>
                <w:rFonts w:ascii="Century Gothic" w:eastAsia="Times New Roman" w:hAnsi="Century Gothic" w:cs="Arial"/>
              </w:rPr>
              <w:t>Thus</w:t>
            </w:r>
            <w:proofErr w:type="gramEnd"/>
            <w:r w:rsidRPr="00540F00">
              <w:rPr>
                <w:rFonts w:ascii="Century Gothic" w:eastAsia="Times New Roman" w:hAnsi="Century Gothic" w:cs="Arial"/>
              </w:rPr>
              <w:t xml:space="preserve"> we conclude that </w:t>
            </w:r>
            <w:r w:rsidRPr="00540F00">
              <w:rPr>
                <w:rFonts w:ascii="Century Gothic" w:eastAsia="Times New Roman" w:hAnsi="Century Gothic" w:cs="Arial"/>
                <w:bCs/>
              </w:rPr>
              <w:t xml:space="preserve">the processes, strategies, evidentiary standards, and other factors used to apply </w:t>
            </w:r>
            <w:r w:rsidRPr="00540F00">
              <w:rPr>
                <w:rFonts w:ascii="Century Gothic" w:hAnsi="Century Gothic" w:cs="Arial"/>
                <w:bCs/>
              </w:rPr>
              <w:t>Medical Necessity Criteria Development</w:t>
            </w:r>
            <w:r w:rsidRPr="00540F00">
              <w:rPr>
                <w:rFonts w:ascii="Century Gothic" w:eastAsia="Times New Roman" w:hAnsi="Century Gothic" w:cs="Arial"/>
                <w:bCs/>
              </w:rPr>
              <w:t xml:space="preserve"> to MH/SUD drugs, </w:t>
            </w:r>
            <w:r w:rsidRPr="00540F00">
              <w:rPr>
                <w:rFonts w:ascii="Century Gothic" w:eastAsia="Times New Roman" w:hAnsi="Century Gothic" w:cs="Arial"/>
                <w:bCs/>
                <w:i/>
                <w:u w:val="single"/>
              </w:rPr>
              <w:t>in operation</w:t>
            </w:r>
            <w:r w:rsidRPr="00540F00">
              <w:rPr>
                <w:rFonts w:ascii="Century Gothic" w:eastAsia="Times New Roman" w:hAnsi="Century Gothic" w:cs="Arial"/>
                <w:bCs/>
              </w:rPr>
              <w:t xml:space="preserve">, are comparable to, and are applied no more stringently than, the processes, strategies, evidentiary standards, and other factors used to apply </w:t>
            </w:r>
            <w:r w:rsidRPr="00540F00">
              <w:rPr>
                <w:rFonts w:ascii="Century Gothic" w:hAnsi="Century Gothic" w:cs="Arial"/>
                <w:bCs/>
              </w:rPr>
              <w:t>Medical Necessity Criteria Development</w:t>
            </w:r>
            <w:r w:rsidRPr="00540F00">
              <w:rPr>
                <w:rFonts w:ascii="Century Gothic" w:eastAsia="Times New Roman" w:hAnsi="Century Gothic" w:cs="Arial"/>
                <w:bCs/>
              </w:rPr>
              <w:t xml:space="preserve"> to M/S drugs.</w:t>
            </w:r>
          </w:p>
          <w:p w14:paraId="7699F4D9" w14:textId="1D3CA633" w:rsidR="00AD53FD" w:rsidRPr="00540F00" w:rsidRDefault="00AD53FD" w:rsidP="00AD53FD">
            <w:pPr>
              <w:ind w:right="216"/>
              <w:jc w:val="both"/>
              <w:textAlignment w:val="baseline"/>
              <w:rPr>
                <w:rFonts w:ascii="Century Gothic" w:eastAsia="Arial" w:hAnsi="Century Gothic" w:cs="Arial"/>
              </w:rPr>
            </w:pPr>
            <w:r w:rsidRPr="00540F00">
              <w:rPr>
                <w:rFonts w:ascii="Century Gothic" w:eastAsia="Times New Roman" w:hAnsi="Century Gothic" w:cs="Arial"/>
                <w:b/>
                <w:bCs/>
              </w:rPr>
              <w:t>Findings conclusions</w:t>
            </w:r>
            <w:r w:rsidRPr="00540F00">
              <w:rPr>
                <w:rFonts w:ascii="Century Gothic" w:eastAsia="Times New Roman" w:hAnsi="Century Gothic" w:cs="Arial"/>
              </w:rPr>
              <w:t xml:space="preserve">: </w:t>
            </w:r>
            <w:r w:rsidRPr="00540F00">
              <w:rPr>
                <w:rFonts w:ascii="Century Gothic" w:hAnsi="Century Gothic" w:cs="Arial"/>
              </w:rPr>
              <w:t xml:space="preserve"> </w:t>
            </w:r>
            <w:r w:rsidRPr="00540F00">
              <w:rPr>
                <w:rFonts w:ascii="Century Gothic" w:eastAsia="Times New Roman" w:hAnsi="Century Gothic" w:cs="Arial"/>
              </w:rPr>
              <w:t xml:space="preserve">Both as written and in operation the processes, strategies, evidentiary standards, and other factors used to apply </w:t>
            </w:r>
            <w:r w:rsidRPr="00540F00">
              <w:rPr>
                <w:rFonts w:ascii="Century Gothic" w:hAnsi="Century Gothic" w:cs="Arial"/>
                <w:bCs/>
              </w:rPr>
              <w:t>Medical Necessity Criteria Development</w:t>
            </w:r>
            <w:r w:rsidRPr="00540F00">
              <w:rPr>
                <w:rFonts w:ascii="Century Gothic" w:eastAsia="Times New Roman" w:hAnsi="Century Gothic" w:cs="Arial"/>
                <w:bCs/>
              </w:rPr>
              <w:t xml:space="preserve"> </w:t>
            </w:r>
            <w:r w:rsidRPr="00540F00">
              <w:rPr>
                <w:rFonts w:ascii="Century Gothic" w:eastAsia="Times New Roman" w:hAnsi="Century Gothic" w:cs="Arial"/>
              </w:rPr>
              <w:t xml:space="preserve">to MH/SUD benefits are comparable to, and are applied no more stringently than, the processes, strategies, evidentiary standards, and other factors used to apply </w:t>
            </w:r>
            <w:r w:rsidRPr="00540F00">
              <w:rPr>
                <w:rFonts w:ascii="Century Gothic" w:hAnsi="Century Gothic" w:cs="Arial"/>
                <w:bCs/>
              </w:rPr>
              <w:t>Medical Necessity Criteria Development</w:t>
            </w:r>
            <w:r w:rsidRPr="00540F00">
              <w:rPr>
                <w:rFonts w:ascii="Century Gothic" w:eastAsia="Times New Roman" w:hAnsi="Century Gothic" w:cs="Arial"/>
                <w:bCs/>
              </w:rPr>
              <w:t xml:space="preserve"> </w:t>
            </w:r>
            <w:r w:rsidRPr="00540F00">
              <w:rPr>
                <w:rFonts w:ascii="Century Gothic" w:eastAsia="Times New Roman" w:hAnsi="Century Gothic" w:cs="Arial"/>
              </w:rPr>
              <w:t xml:space="preserve">to M/S benefits in the prescription drug classification. Therefore, the plan finds that the comparative analysis demonstrates its </w:t>
            </w:r>
            <w:r w:rsidRPr="00540F00">
              <w:rPr>
                <w:rFonts w:ascii="Century Gothic" w:hAnsi="Century Gothic" w:cs="Arial"/>
                <w:bCs/>
              </w:rPr>
              <w:t>Medical Necessity Criteria Development</w:t>
            </w:r>
            <w:r w:rsidRPr="00540F00">
              <w:rPr>
                <w:rFonts w:ascii="Century Gothic" w:eastAsia="Times New Roman" w:hAnsi="Century Gothic" w:cs="Arial"/>
                <w:bCs/>
              </w:rPr>
              <w:t xml:space="preserve"> </w:t>
            </w:r>
            <w:r w:rsidRPr="00540F00">
              <w:rPr>
                <w:rFonts w:ascii="Century Gothic" w:eastAsia="Times New Roman" w:hAnsi="Century Gothic" w:cs="Arial"/>
              </w:rPr>
              <w:t>practices are compliant with MHPAEA.</w:t>
            </w:r>
          </w:p>
        </w:tc>
      </w:tr>
    </w:tbl>
    <w:p w14:paraId="33005CA1" w14:textId="77777777" w:rsidR="00C87444" w:rsidRPr="00540F00" w:rsidRDefault="00C87444" w:rsidP="00540F00">
      <w:pPr>
        <w:rPr>
          <w:rFonts w:ascii="Century Gothic" w:hAnsi="Century Gothic" w:cs="Times New Roman"/>
        </w:rPr>
      </w:pPr>
    </w:p>
    <w:p w14:paraId="6B6986D2" w14:textId="77777777" w:rsidR="00D36D15" w:rsidRPr="00D61E32" w:rsidRDefault="00D36D15" w:rsidP="00D36D15">
      <w:pPr>
        <w:pStyle w:val="ListParagraph"/>
        <w:numPr>
          <w:ilvl w:val="0"/>
          <w:numId w:val="3"/>
        </w:numPr>
        <w:spacing w:after="0"/>
        <w:rPr>
          <w:rFonts w:ascii="Century Gothic" w:hAnsi="Century Gothic" w:cs="Times New Roman"/>
          <w:b/>
          <w:u w:val="single"/>
        </w:rPr>
      </w:pPr>
      <w:r w:rsidRPr="00D61E32">
        <w:rPr>
          <w:rFonts w:ascii="Century Gothic" w:hAnsi="Century Gothic" w:cs="Times New Roman"/>
          <w:b/>
          <w:u w:val="single"/>
        </w:rPr>
        <w:t>Prior Authorization Review Process</w:t>
      </w:r>
    </w:p>
    <w:p w14:paraId="4A6620CC" w14:textId="77777777" w:rsidR="00D36D15" w:rsidRPr="00D61E32" w:rsidRDefault="00D36D15" w:rsidP="00D36D15">
      <w:pPr>
        <w:rPr>
          <w:rFonts w:ascii="Century Gothic" w:hAnsi="Century Gothic"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06566" w:rsidRPr="00D61E32" w14:paraId="4C6A3D7D" w14:textId="77777777" w:rsidTr="00D61E32">
        <w:trPr>
          <w:trHeight w:val="314"/>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C48D36" w14:textId="1F588BCE" w:rsidR="00806566" w:rsidRPr="00D61E32" w:rsidRDefault="00806566">
            <w:pPr>
              <w:rPr>
                <w:rFonts w:ascii="Century Gothic" w:hAnsi="Century Gothic" w:cs="Arial"/>
                <w:b/>
                <w:bCs/>
              </w:rPr>
            </w:pPr>
            <w:bookmarkStart w:id="4" w:name="OLE_LINK17"/>
            <w:r w:rsidRPr="00D61E32">
              <w:rPr>
                <w:rFonts w:ascii="Century Gothic" w:hAnsi="Century Gothic" w:cs="Arial"/>
                <w:b/>
                <w:bCs/>
              </w:rPr>
              <w:t xml:space="preserve">NQTL: Prior Authorization </w:t>
            </w:r>
            <w:r w:rsidR="00AD53FD">
              <w:rPr>
                <w:rFonts w:ascii="Century Gothic" w:hAnsi="Century Gothic" w:cs="Arial"/>
                <w:b/>
                <w:bCs/>
              </w:rPr>
              <w:t xml:space="preserve">– Medical </w:t>
            </w:r>
          </w:p>
        </w:tc>
      </w:tr>
      <w:tr w:rsidR="00806566" w:rsidRPr="00D61E32" w14:paraId="16B053F8" w14:textId="77777777" w:rsidTr="00D61E32">
        <w:trPr>
          <w:trHeight w:val="29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C5BB54" w14:textId="49C032FE" w:rsidR="00806566" w:rsidRPr="00D61E32" w:rsidRDefault="00806566">
            <w:pPr>
              <w:rPr>
                <w:rFonts w:ascii="Century Gothic" w:hAnsi="Century Gothic" w:cs="Arial"/>
                <w:b/>
                <w:bCs/>
                <w:color w:val="000000" w:themeColor="text1"/>
              </w:rPr>
            </w:pPr>
            <w:r w:rsidRPr="00D61E32">
              <w:rPr>
                <w:rFonts w:ascii="Century Gothic" w:hAnsi="Century Gothic" w:cs="Arial"/>
                <w:b/>
                <w:bCs/>
              </w:rPr>
              <w:t xml:space="preserve">Classification(s): </w:t>
            </w:r>
            <w:r w:rsidRPr="00D61E32">
              <w:rPr>
                <w:rFonts w:ascii="Century Gothic" w:hAnsi="Century Gothic" w:cs="Arial"/>
                <w:b/>
                <w:bCs/>
                <w:color w:val="000000" w:themeColor="text1"/>
              </w:rPr>
              <w:t>Inpatient In-Network, Inpatient Out-Of-Network</w:t>
            </w:r>
          </w:p>
        </w:tc>
      </w:tr>
      <w:tr w:rsidR="00806566" w:rsidRPr="00D61E32" w14:paraId="4ECBBAF1" w14:textId="77777777" w:rsidTr="00CE4315">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920B64" w14:textId="77777777" w:rsidR="00806566" w:rsidRPr="00D61E32" w:rsidRDefault="00806566">
            <w:pPr>
              <w:rPr>
                <w:rFonts w:ascii="Century Gothic" w:hAnsi="Century Gothic" w:cs="Arial"/>
                <w:b/>
                <w:bCs/>
              </w:rPr>
            </w:pPr>
            <w:r w:rsidRPr="00D61E32">
              <w:rPr>
                <w:rFonts w:ascii="Century Gothic" w:hAnsi="Century Gothic" w:cs="Arial"/>
                <w:b/>
                <w:bCs/>
              </w:rPr>
              <w:t>Step 1 – Identify the specific plan or coverage terms or other relevant terms regarding Prior Authorization and a description of all mental health or substance use disorder and medical or surgical benefits to which each such term applies in each respective benefits classification</w:t>
            </w:r>
          </w:p>
        </w:tc>
      </w:tr>
      <w:tr w:rsidR="00806566" w:rsidRPr="00D61E32" w14:paraId="3EE3246F" w14:textId="77777777" w:rsidTr="00CE4315">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78CF918E" w14:textId="77777777" w:rsidR="00806566" w:rsidRPr="00D61E32" w:rsidRDefault="00806566">
            <w:pPr>
              <w:rPr>
                <w:rFonts w:ascii="Century Gothic" w:hAnsi="Century Gothic" w:cs="Arial"/>
                <w:bCs/>
              </w:rPr>
            </w:pPr>
            <w:r w:rsidRPr="00D61E32">
              <w:rPr>
                <w:rFonts w:ascii="Century Gothic" w:hAnsi="Century Gothic" w:cs="Arial"/>
                <w:b/>
                <w:bCs/>
                <w:i/>
              </w:rPr>
              <w:t>Step 1(a): Provide a clear description of the specific NQTL, plan terms, and policies at issue</w:t>
            </w:r>
            <w:r w:rsidRPr="00D61E32">
              <w:rPr>
                <w:rFonts w:ascii="Century Gothic" w:hAnsi="Century Gothic" w:cs="Arial"/>
                <w:bCs/>
              </w:rPr>
              <w:t>:</w:t>
            </w:r>
            <w:r w:rsidRPr="00D61E32">
              <w:rPr>
                <w:rStyle w:val="FootnoteReference"/>
                <w:rFonts w:ascii="Century Gothic" w:hAnsi="Century Gothic" w:cs="Arial"/>
                <w:bCs/>
              </w:rPr>
              <w:footnoteReference w:id="16"/>
            </w:r>
            <w:r w:rsidRPr="00D61E32">
              <w:rPr>
                <w:rFonts w:ascii="Century Gothic" w:hAnsi="Century Gothic" w:cs="Arial"/>
                <w:bCs/>
              </w:rPr>
              <w:t xml:space="preserve"> </w:t>
            </w:r>
          </w:p>
          <w:p w14:paraId="52CD568C" w14:textId="77777777" w:rsidR="00806566" w:rsidRPr="00D61E32" w:rsidRDefault="00806566">
            <w:pPr>
              <w:rPr>
                <w:rFonts w:ascii="Century Gothic" w:hAnsi="Century Gothic" w:cs="Arial"/>
                <w:bCs/>
              </w:rPr>
            </w:pPr>
            <w:r w:rsidRPr="00D61E32">
              <w:rPr>
                <w:rFonts w:ascii="Century Gothic" w:hAnsi="Century Gothic" w:cs="Arial"/>
                <w:bCs/>
              </w:rPr>
              <w:t xml:space="preserve">Prior Authorization (Preauthorization or “PA”) is a decision prior to a member’s receipt of a Covered Service, procedure, or device that the Covered Service, procedure or device is Medically Necessary. </w:t>
            </w:r>
          </w:p>
          <w:p w14:paraId="426F3222" w14:textId="25AEC33A" w:rsidR="00806566" w:rsidRPr="00D61E32" w:rsidRDefault="00806566">
            <w:pPr>
              <w:rPr>
                <w:rFonts w:ascii="Century Gothic" w:hAnsi="Century Gothic" w:cs="Arial"/>
              </w:rPr>
            </w:pPr>
            <w:r w:rsidRPr="00D61E32">
              <w:rPr>
                <w:rFonts w:ascii="Century Gothic" w:hAnsi="Century Gothic" w:cs="Arial"/>
              </w:rPr>
              <w:t xml:space="preserve">Wellfleet delegates its non-Pharmacy Utilization Management to Cigna . Cigna is responsible for determining which non-Pharmacy benefits are eligible for PA. As such, Cigna’s utilization management policies are used to determine prior authorization factors, sources, and evidentiary standards. Once the benefits subject to prior authorization are determined, Cigna performs utilization management on Wellfleet’s behalf. Their policies are used to determine operational aspects of Prior Authorization. </w:t>
            </w:r>
          </w:p>
        </w:tc>
      </w:tr>
      <w:tr w:rsidR="00806566" w:rsidRPr="00D61E32" w14:paraId="6EB0C422" w14:textId="77777777" w:rsidTr="00CE4315">
        <w:trPr>
          <w:trHeight w:val="440"/>
        </w:trPr>
        <w:tc>
          <w:tcPr>
            <w:tcW w:w="2500" w:type="pct"/>
            <w:tcBorders>
              <w:top w:val="single" w:sz="4" w:space="0" w:color="auto"/>
              <w:left w:val="single" w:sz="4" w:space="0" w:color="auto"/>
              <w:bottom w:val="single" w:sz="4" w:space="0" w:color="auto"/>
              <w:right w:val="single" w:sz="4" w:space="0" w:color="auto"/>
            </w:tcBorders>
          </w:tcPr>
          <w:p w14:paraId="41C65C52" w14:textId="3C8443F0" w:rsidR="00806566" w:rsidRPr="00D61E32" w:rsidRDefault="00806566">
            <w:pPr>
              <w:rPr>
                <w:rFonts w:ascii="Century Gothic" w:hAnsi="Century Gothic" w:cs="Arial"/>
                <w:b/>
                <w:i/>
              </w:rPr>
            </w:pPr>
            <w:r w:rsidRPr="00D61E32">
              <w:rPr>
                <w:rFonts w:ascii="Century Gothic" w:hAnsi="Century Gothic" w:cs="Arial"/>
                <w:b/>
                <w:i/>
              </w:rPr>
              <w:t>Step 1(b): Identify the M/S benefits/services for which Prior Authorization is required:</w:t>
            </w:r>
            <w:r w:rsidRPr="00D61E32">
              <w:rPr>
                <w:rStyle w:val="FootnoteReference"/>
                <w:rFonts w:ascii="Century Gothic" w:hAnsi="Century Gothic" w:cs="Arial"/>
                <w:b/>
                <w:i/>
              </w:rPr>
              <w:footnoteReference w:id="17"/>
            </w:r>
          </w:p>
          <w:p w14:paraId="148FCA28" w14:textId="2FD8560C" w:rsidR="00806566" w:rsidRPr="007920B9" w:rsidRDefault="00806566">
            <w:pPr>
              <w:rPr>
                <w:rFonts w:ascii="Century Gothic" w:hAnsi="Century Gothic" w:cs="Arial"/>
              </w:rPr>
            </w:pPr>
            <w:r w:rsidRPr="00D61E32">
              <w:rPr>
                <w:rFonts w:ascii="Century Gothic" w:hAnsi="Century Gothic" w:cs="Arial"/>
              </w:rPr>
              <w:t xml:space="preserve"> Please see attached which details benefits subject to PA:</w:t>
            </w:r>
          </w:p>
        </w:tc>
        <w:tc>
          <w:tcPr>
            <w:tcW w:w="2500" w:type="pct"/>
            <w:tcBorders>
              <w:top w:val="single" w:sz="4" w:space="0" w:color="auto"/>
              <w:left w:val="single" w:sz="4" w:space="0" w:color="auto"/>
              <w:bottom w:val="single" w:sz="4" w:space="0" w:color="auto"/>
              <w:right w:val="single" w:sz="4" w:space="0" w:color="auto"/>
            </w:tcBorders>
            <w:hideMark/>
          </w:tcPr>
          <w:p w14:paraId="6B4B09E4" w14:textId="77777777" w:rsidR="00806566" w:rsidRPr="00D61E32" w:rsidRDefault="00806566">
            <w:pPr>
              <w:rPr>
                <w:rFonts w:ascii="Century Gothic" w:hAnsi="Century Gothic" w:cs="Arial"/>
              </w:rPr>
            </w:pPr>
            <w:r w:rsidRPr="00D61E32">
              <w:rPr>
                <w:rFonts w:ascii="Century Gothic" w:hAnsi="Century Gothic" w:cs="Arial"/>
                <w:b/>
                <w:i/>
              </w:rPr>
              <w:t>Step 1(b): Identify the MH/SUD benefits/services for which Prior Authorization is required</w:t>
            </w:r>
            <w:r w:rsidRPr="00D61E32">
              <w:rPr>
                <w:rFonts w:ascii="Century Gothic" w:hAnsi="Century Gothic" w:cs="Arial"/>
              </w:rPr>
              <w:t>:</w:t>
            </w:r>
            <w:r w:rsidRPr="00D61E32">
              <w:rPr>
                <w:rStyle w:val="FootnoteReference"/>
                <w:rFonts w:ascii="Century Gothic" w:hAnsi="Century Gothic" w:cs="Arial"/>
              </w:rPr>
              <w:footnoteReference w:id="18"/>
            </w:r>
          </w:p>
          <w:p w14:paraId="38C753DC" w14:textId="77777777" w:rsidR="00806566" w:rsidRPr="00D61E32" w:rsidRDefault="00806566">
            <w:pPr>
              <w:rPr>
                <w:rFonts w:ascii="Century Gothic" w:hAnsi="Century Gothic" w:cs="Arial"/>
              </w:rPr>
            </w:pPr>
            <w:r w:rsidRPr="00D61E32">
              <w:rPr>
                <w:rFonts w:ascii="Century Gothic" w:hAnsi="Century Gothic" w:cs="Arial"/>
              </w:rPr>
              <w:t>Please see attached, which details benefits subject to PA:</w:t>
            </w:r>
          </w:p>
          <w:p w14:paraId="51E8E547" w14:textId="36A9EC3B" w:rsidR="00806566" w:rsidRPr="00D61E32" w:rsidRDefault="00806566">
            <w:pPr>
              <w:rPr>
                <w:rFonts w:ascii="Century Gothic" w:hAnsi="Century Gothic" w:cs="Arial"/>
                <w:strike/>
              </w:rPr>
            </w:pPr>
          </w:p>
        </w:tc>
      </w:tr>
      <w:tr w:rsidR="00806566" w:rsidRPr="00D61E32" w14:paraId="4549FAC4" w14:textId="77777777" w:rsidTr="00CE4315">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614969" w14:textId="77777777" w:rsidR="00806566" w:rsidRPr="00D61E32" w:rsidRDefault="00806566">
            <w:pPr>
              <w:rPr>
                <w:rFonts w:ascii="Century Gothic" w:hAnsi="Century Gothic" w:cs="Arial"/>
                <w:b/>
                <w:bCs/>
              </w:rPr>
            </w:pPr>
            <w:r w:rsidRPr="00D61E32">
              <w:rPr>
                <w:rFonts w:ascii="Century Gothic" w:hAnsi="Century Gothic" w:cs="Arial"/>
                <w:b/>
                <w:bCs/>
              </w:rPr>
              <w:t>Step 2 – Identify the factors used to determine that Prior Authorization will apply to mental health or substance use disorder benefits and medical or surgical benefits</w:t>
            </w:r>
            <w:r w:rsidRPr="00D61E32">
              <w:rPr>
                <w:rStyle w:val="FootnoteReference"/>
                <w:rFonts w:ascii="Century Gothic" w:hAnsi="Century Gothic" w:cs="Arial"/>
                <w:b/>
                <w:bCs/>
              </w:rPr>
              <w:footnoteReference w:id="19"/>
            </w:r>
          </w:p>
        </w:tc>
      </w:tr>
      <w:tr w:rsidR="00806566" w:rsidRPr="00D61E32" w14:paraId="0393425C" w14:textId="77777777" w:rsidTr="00CE4315">
        <w:trPr>
          <w:trHeight w:val="1430"/>
        </w:trPr>
        <w:tc>
          <w:tcPr>
            <w:tcW w:w="2500" w:type="pct"/>
            <w:tcBorders>
              <w:top w:val="single" w:sz="4" w:space="0" w:color="auto"/>
              <w:left w:val="single" w:sz="4" w:space="0" w:color="auto"/>
              <w:bottom w:val="single" w:sz="4" w:space="0" w:color="auto"/>
              <w:right w:val="single" w:sz="4" w:space="0" w:color="auto"/>
            </w:tcBorders>
          </w:tcPr>
          <w:p w14:paraId="46ADEBBF" w14:textId="61DFFD8C" w:rsidR="00806566" w:rsidRPr="00D61E32" w:rsidRDefault="00806566">
            <w:pPr>
              <w:rPr>
                <w:rFonts w:ascii="Century Gothic" w:hAnsi="Century Gothic" w:cs="Arial"/>
              </w:rPr>
            </w:pPr>
            <w:r w:rsidRPr="00D61E32">
              <w:rPr>
                <w:rFonts w:ascii="Century Gothic" w:hAnsi="Century Gothic" w:cs="Arial"/>
                <w:b/>
              </w:rPr>
              <w:t>Medical/Surgical</w:t>
            </w:r>
            <w:r w:rsidRPr="00D61E32">
              <w:rPr>
                <w:rFonts w:ascii="Century Gothic" w:hAnsi="Century Gothic" w:cs="Arial"/>
              </w:rPr>
              <w:t>:</w:t>
            </w:r>
          </w:p>
          <w:p w14:paraId="1939EB56" w14:textId="77777777" w:rsidR="00806566" w:rsidRPr="00D61E32" w:rsidRDefault="00806566">
            <w:pPr>
              <w:rPr>
                <w:rFonts w:ascii="Century Gothic" w:hAnsi="Century Gothic" w:cs="Arial"/>
                <w:b/>
                <w:bCs/>
              </w:rPr>
            </w:pPr>
            <w:r w:rsidRPr="00D61E32">
              <w:rPr>
                <w:rFonts w:ascii="Century Gothic" w:hAnsi="Century Gothic" w:cs="Arial"/>
                <w:b/>
                <w:bCs/>
              </w:rPr>
              <w:t xml:space="preserve">A. Factors for determining whether to apply PA: </w:t>
            </w:r>
          </w:p>
          <w:p w14:paraId="264B9E89" w14:textId="7A1C7952" w:rsidR="00806566" w:rsidRPr="00D61E32" w:rsidRDefault="00806566">
            <w:pPr>
              <w:rPr>
                <w:rFonts w:ascii="Century Gothic" w:hAnsi="Century Gothic" w:cs="Arial"/>
              </w:rPr>
            </w:pPr>
            <w:r w:rsidRPr="00D61E32">
              <w:rPr>
                <w:rFonts w:ascii="Century Gothic" w:hAnsi="Century Gothic" w:cs="Arial"/>
              </w:rPr>
              <w:t xml:space="preserve">Wellfleet delegates Utilization Management, including Prior Authorization, to Cigna. As such, Wellfleet utilizes Cigna’s factors for determining when to apply PA. </w:t>
            </w:r>
            <w:r w:rsidRPr="00D61E32">
              <w:rPr>
                <w:rFonts w:ascii="Century Gothic" w:hAnsi="Century Gothic" w:cs="Arial"/>
                <w:lang w:val="x-none"/>
              </w:rPr>
              <w:t xml:space="preserve">When determining that M/S benefits are subject to </w:t>
            </w:r>
            <w:r w:rsidRPr="00D61E32">
              <w:rPr>
                <w:rFonts w:ascii="Century Gothic" w:hAnsi="Century Gothic" w:cs="Arial"/>
              </w:rPr>
              <w:t>Prior Authorization</w:t>
            </w:r>
            <w:r w:rsidRPr="00D61E32">
              <w:rPr>
                <w:rFonts w:ascii="Century Gothic" w:hAnsi="Century Gothic" w:cs="Arial"/>
                <w:lang w:val="x-none"/>
              </w:rPr>
              <w:t>, Cigna conduct</w:t>
            </w:r>
            <w:r w:rsidRPr="00D61E32">
              <w:rPr>
                <w:rFonts w:ascii="Century Gothic" w:hAnsi="Century Gothic" w:cs="Arial"/>
              </w:rPr>
              <w:t>s</w:t>
            </w:r>
            <w:r w:rsidRPr="00D61E32">
              <w:rPr>
                <w:rFonts w:ascii="Century Gothic" w:hAnsi="Century Gothic" w:cs="Arial"/>
                <w:lang w:val="x-none"/>
              </w:rPr>
              <w:t xml:space="preserve"> a cost-benefit analysis based upon the following factor</w:t>
            </w:r>
            <w:r w:rsidRPr="00D61E32">
              <w:rPr>
                <w:rFonts w:ascii="Century Gothic" w:hAnsi="Century Gothic" w:cs="Arial"/>
              </w:rPr>
              <w:t xml:space="preserve">: </w:t>
            </w:r>
          </w:p>
          <w:p w14:paraId="01FC5FD9" w14:textId="31672B23" w:rsidR="00806566" w:rsidRPr="00D61E32" w:rsidRDefault="00806566">
            <w:pPr>
              <w:rPr>
                <w:rFonts w:ascii="Century Gothic" w:hAnsi="Century Gothic" w:cs="Arial"/>
              </w:rPr>
            </w:pPr>
            <w:r w:rsidRPr="00D61E32">
              <w:rPr>
                <w:rFonts w:ascii="Century Gothic" w:hAnsi="Century Gothic" w:cs="Arial"/>
              </w:rPr>
              <w:t xml:space="preserve">Services covered under a Cigna-administered benefit plan, including M/S benefits, may require Prior Authorization to achieve a variety of objectives, including the verification of the appropriate utilization of services by type/level of care and place/setting of service under benefit plans administered by Cigna (clinical appropriateness) the value of the service exceeds the administrative costs, and verification that a service will be rendered for a covered benefit.  </w:t>
            </w:r>
          </w:p>
          <w:p w14:paraId="71060F8E" w14:textId="5DEEAA5D" w:rsidR="00806566" w:rsidRPr="00D61E32" w:rsidRDefault="00806566">
            <w:pPr>
              <w:rPr>
                <w:rFonts w:ascii="Century Gothic" w:hAnsi="Century Gothic" w:cs="Arial"/>
                <w:lang w:bidi="en-US"/>
              </w:rPr>
            </w:pPr>
            <w:r w:rsidRPr="00D61E32">
              <w:rPr>
                <w:rFonts w:ascii="Century Gothic" w:hAnsi="Century Gothic" w:cs="Arial"/>
                <w:lang w:bidi="en-US"/>
              </w:rPr>
              <w:t xml:space="preserve">All Inpatient admissions are subject to prior authorization review, without service/procedure level distinctions for the inpatient benefit classification based upon high cost, high risk and complexity for members receiving the service.  </w:t>
            </w:r>
          </w:p>
          <w:p w14:paraId="108FAE5A" w14:textId="77777777" w:rsidR="00806566" w:rsidRPr="00D61E32" w:rsidRDefault="00806566">
            <w:pPr>
              <w:rPr>
                <w:rFonts w:ascii="Century Gothic" w:hAnsi="Century Gothic" w:cs="Arial"/>
                <w:b/>
                <w:bCs/>
              </w:rPr>
            </w:pPr>
            <w:r w:rsidRPr="00D61E32">
              <w:rPr>
                <w:rFonts w:ascii="Century Gothic" w:hAnsi="Century Gothic" w:cs="Arial"/>
                <w:b/>
                <w:bCs/>
              </w:rPr>
              <w:t xml:space="preserve">B. Factors for determining whether to remove PA: </w:t>
            </w:r>
          </w:p>
          <w:p w14:paraId="73207E98" w14:textId="77777777" w:rsidR="00806566" w:rsidRPr="00D61E32" w:rsidRDefault="00806566">
            <w:pPr>
              <w:rPr>
                <w:rFonts w:ascii="Century Gothic" w:hAnsi="Century Gothic" w:cs="Arial"/>
              </w:rPr>
            </w:pPr>
            <w:r w:rsidRPr="00D61E32">
              <w:rPr>
                <w:rFonts w:ascii="Century Gothic" w:hAnsi="Century Gothic" w:cs="Arial"/>
              </w:rPr>
              <w:t xml:space="preserve">Once Wellfleet receives the list of services subject to PA from Cigna, Wellfleet can choose to remove PA from certain benefits/ services. Wellfleet uses the following factors to determine whether to remove PA from certain services : </w:t>
            </w:r>
          </w:p>
          <w:p w14:paraId="40A58D7F" w14:textId="77777777" w:rsidR="00806566" w:rsidRPr="00D61E32" w:rsidRDefault="00806566">
            <w:pPr>
              <w:ind w:left="720"/>
              <w:rPr>
                <w:rFonts w:ascii="Century Gothic" w:hAnsi="Century Gothic" w:cs="Arial"/>
              </w:rPr>
            </w:pPr>
            <w:r w:rsidRPr="00D61E32">
              <w:rPr>
                <w:rFonts w:ascii="Century Gothic" w:hAnsi="Century Gothic" w:cs="Arial"/>
              </w:rPr>
              <w:t xml:space="preserve">1. ROI </w:t>
            </w:r>
          </w:p>
          <w:p w14:paraId="2A3219C7" w14:textId="77777777" w:rsidR="00806566" w:rsidRPr="00D61E32" w:rsidRDefault="00806566">
            <w:pPr>
              <w:ind w:left="720"/>
              <w:rPr>
                <w:rFonts w:ascii="Century Gothic" w:hAnsi="Century Gothic" w:cs="Arial"/>
              </w:rPr>
            </w:pPr>
            <w:r w:rsidRPr="00D61E32">
              <w:rPr>
                <w:rFonts w:ascii="Century Gothic" w:hAnsi="Century Gothic" w:cs="Arial"/>
              </w:rPr>
              <w:t xml:space="preserve">2. School preference/ selection (used only to remove PA) </w:t>
            </w:r>
          </w:p>
        </w:tc>
        <w:tc>
          <w:tcPr>
            <w:tcW w:w="2500" w:type="pct"/>
            <w:tcBorders>
              <w:top w:val="single" w:sz="4" w:space="0" w:color="auto"/>
              <w:left w:val="single" w:sz="4" w:space="0" w:color="auto"/>
              <w:bottom w:val="single" w:sz="4" w:space="0" w:color="auto"/>
              <w:right w:val="single" w:sz="4" w:space="0" w:color="auto"/>
            </w:tcBorders>
          </w:tcPr>
          <w:p w14:paraId="1335AEEA" w14:textId="690EDC0B" w:rsidR="00806566" w:rsidRPr="00D61E32" w:rsidRDefault="00806566">
            <w:pPr>
              <w:rPr>
                <w:rFonts w:ascii="Century Gothic" w:hAnsi="Century Gothic" w:cs="Arial"/>
              </w:rPr>
            </w:pPr>
            <w:r w:rsidRPr="00D61E32">
              <w:rPr>
                <w:rFonts w:ascii="Century Gothic" w:hAnsi="Century Gothic" w:cs="Arial"/>
                <w:b/>
              </w:rPr>
              <w:t>MH/SUD</w:t>
            </w:r>
            <w:r w:rsidRPr="00D61E32">
              <w:rPr>
                <w:rFonts w:ascii="Century Gothic" w:hAnsi="Century Gothic" w:cs="Arial"/>
              </w:rPr>
              <w:t>:</w:t>
            </w:r>
          </w:p>
          <w:p w14:paraId="0D840F3E" w14:textId="77777777" w:rsidR="00806566" w:rsidRPr="00D61E32" w:rsidRDefault="00806566">
            <w:pPr>
              <w:rPr>
                <w:rFonts w:ascii="Century Gothic" w:hAnsi="Century Gothic" w:cs="Arial"/>
                <w:b/>
                <w:bCs/>
              </w:rPr>
            </w:pPr>
            <w:r w:rsidRPr="00D61E32">
              <w:rPr>
                <w:rFonts w:ascii="Century Gothic" w:hAnsi="Century Gothic" w:cs="Arial"/>
                <w:b/>
                <w:bCs/>
              </w:rPr>
              <w:t xml:space="preserve">A. Factors for determining whether to apply PA: </w:t>
            </w:r>
          </w:p>
          <w:p w14:paraId="1E4974E6" w14:textId="77777777" w:rsidR="00806566" w:rsidRPr="00D61E32" w:rsidRDefault="00806566">
            <w:pPr>
              <w:rPr>
                <w:rFonts w:ascii="Century Gothic" w:hAnsi="Century Gothic" w:cs="Arial"/>
              </w:rPr>
            </w:pPr>
            <w:r w:rsidRPr="00D61E32">
              <w:rPr>
                <w:rFonts w:ascii="Century Gothic" w:hAnsi="Century Gothic" w:cs="Arial"/>
              </w:rPr>
              <w:t>Same as M/S.</w:t>
            </w:r>
          </w:p>
          <w:p w14:paraId="031657F3" w14:textId="77777777" w:rsidR="00806566" w:rsidRPr="00D61E32" w:rsidRDefault="00806566">
            <w:pPr>
              <w:rPr>
                <w:rFonts w:ascii="Century Gothic" w:hAnsi="Century Gothic" w:cs="Arial"/>
              </w:rPr>
            </w:pPr>
          </w:p>
          <w:p w14:paraId="0B38C831" w14:textId="77777777" w:rsidR="00806566" w:rsidRPr="00D61E32" w:rsidRDefault="00806566">
            <w:pPr>
              <w:rPr>
                <w:rFonts w:ascii="Century Gothic" w:hAnsi="Century Gothic" w:cs="Arial"/>
              </w:rPr>
            </w:pPr>
          </w:p>
          <w:p w14:paraId="1C64BB26" w14:textId="77777777" w:rsidR="00806566" w:rsidRPr="00D61E32" w:rsidRDefault="00806566">
            <w:pPr>
              <w:rPr>
                <w:rFonts w:ascii="Century Gothic" w:hAnsi="Century Gothic" w:cs="Arial"/>
              </w:rPr>
            </w:pPr>
          </w:p>
          <w:p w14:paraId="5F6C65E1" w14:textId="77777777" w:rsidR="00806566" w:rsidRPr="00D61E32" w:rsidRDefault="00806566">
            <w:pPr>
              <w:rPr>
                <w:rFonts w:ascii="Century Gothic" w:hAnsi="Century Gothic" w:cs="Arial"/>
              </w:rPr>
            </w:pPr>
          </w:p>
          <w:p w14:paraId="5C8D4576" w14:textId="77777777" w:rsidR="00806566" w:rsidRPr="00D61E32" w:rsidRDefault="00806566">
            <w:pPr>
              <w:rPr>
                <w:rFonts w:ascii="Century Gothic" w:hAnsi="Century Gothic" w:cs="Arial"/>
              </w:rPr>
            </w:pPr>
          </w:p>
          <w:p w14:paraId="32AEA46C" w14:textId="77777777" w:rsidR="00806566" w:rsidRPr="00D61E32" w:rsidRDefault="00806566">
            <w:pPr>
              <w:rPr>
                <w:rFonts w:ascii="Century Gothic" w:hAnsi="Century Gothic" w:cs="Arial"/>
              </w:rPr>
            </w:pPr>
          </w:p>
          <w:p w14:paraId="70E693EE" w14:textId="77777777" w:rsidR="00806566" w:rsidRPr="00D61E32" w:rsidRDefault="00806566">
            <w:pPr>
              <w:rPr>
                <w:rFonts w:ascii="Century Gothic" w:hAnsi="Century Gothic" w:cs="Arial"/>
              </w:rPr>
            </w:pPr>
          </w:p>
          <w:p w14:paraId="58C6035A" w14:textId="77777777" w:rsidR="00806566" w:rsidRPr="00D61E32" w:rsidRDefault="00806566">
            <w:pPr>
              <w:rPr>
                <w:rFonts w:ascii="Century Gothic" w:hAnsi="Century Gothic" w:cs="Arial"/>
              </w:rPr>
            </w:pPr>
          </w:p>
          <w:p w14:paraId="3F7B7122" w14:textId="77777777" w:rsidR="00806566" w:rsidRPr="00D61E32" w:rsidRDefault="00806566">
            <w:pPr>
              <w:rPr>
                <w:rFonts w:ascii="Century Gothic" w:hAnsi="Century Gothic" w:cs="Arial"/>
              </w:rPr>
            </w:pPr>
          </w:p>
          <w:p w14:paraId="7DAFEC3B" w14:textId="77777777" w:rsidR="00806566" w:rsidRPr="00D61E32" w:rsidRDefault="00806566">
            <w:pPr>
              <w:rPr>
                <w:rFonts w:ascii="Century Gothic" w:hAnsi="Century Gothic" w:cs="Arial"/>
              </w:rPr>
            </w:pPr>
          </w:p>
          <w:p w14:paraId="61068D31" w14:textId="77777777" w:rsidR="00806566" w:rsidRPr="00D61E32" w:rsidRDefault="00806566">
            <w:pPr>
              <w:rPr>
                <w:rFonts w:ascii="Century Gothic" w:hAnsi="Century Gothic" w:cs="Arial"/>
              </w:rPr>
            </w:pPr>
          </w:p>
          <w:p w14:paraId="53637115" w14:textId="77777777" w:rsidR="00806566" w:rsidRPr="00D61E32" w:rsidRDefault="00806566">
            <w:pPr>
              <w:rPr>
                <w:rFonts w:ascii="Century Gothic" w:hAnsi="Century Gothic" w:cs="Arial"/>
              </w:rPr>
            </w:pPr>
          </w:p>
          <w:p w14:paraId="28F61C21" w14:textId="77777777" w:rsidR="00806566" w:rsidRPr="00D61E32" w:rsidRDefault="00806566">
            <w:pPr>
              <w:rPr>
                <w:rFonts w:ascii="Century Gothic" w:hAnsi="Century Gothic" w:cs="Arial"/>
              </w:rPr>
            </w:pPr>
          </w:p>
          <w:p w14:paraId="04A1EE3E" w14:textId="77777777" w:rsidR="00806566" w:rsidRPr="00D61E32" w:rsidRDefault="00806566">
            <w:pPr>
              <w:rPr>
                <w:rFonts w:ascii="Century Gothic" w:hAnsi="Century Gothic" w:cs="Arial"/>
              </w:rPr>
            </w:pPr>
          </w:p>
          <w:p w14:paraId="46F52E38" w14:textId="77777777" w:rsidR="00806566" w:rsidRPr="00D61E32" w:rsidRDefault="00806566">
            <w:pPr>
              <w:rPr>
                <w:rFonts w:ascii="Century Gothic" w:hAnsi="Century Gothic" w:cs="Arial"/>
              </w:rPr>
            </w:pPr>
          </w:p>
          <w:p w14:paraId="46FB0318" w14:textId="77777777" w:rsidR="00806566" w:rsidRPr="00D61E32" w:rsidRDefault="00806566">
            <w:pPr>
              <w:rPr>
                <w:rFonts w:ascii="Century Gothic" w:hAnsi="Century Gothic" w:cs="Arial"/>
              </w:rPr>
            </w:pPr>
          </w:p>
          <w:p w14:paraId="26B2927A" w14:textId="77777777" w:rsidR="00806566" w:rsidRPr="00D61E32" w:rsidRDefault="00806566">
            <w:pPr>
              <w:rPr>
                <w:rFonts w:ascii="Century Gothic" w:hAnsi="Century Gothic" w:cs="Arial"/>
              </w:rPr>
            </w:pPr>
          </w:p>
          <w:p w14:paraId="2BAA153C" w14:textId="77777777" w:rsidR="00806566" w:rsidRPr="00D61E32" w:rsidRDefault="00806566">
            <w:pPr>
              <w:rPr>
                <w:rFonts w:ascii="Century Gothic" w:hAnsi="Century Gothic" w:cs="Arial"/>
              </w:rPr>
            </w:pPr>
          </w:p>
          <w:p w14:paraId="36FD5A24" w14:textId="77777777" w:rsidR="00806566" w:rsidRPr="00D61E32" w:rsidRDefault="00806566">
            <w:pPr>
              <w:rPr>
                <w:rFonts w:ascii="Century Gothic" w:hAnsi="Century Gothic" w:cs="Arial"/>
                <w:b/>
                <w:bCs/>
              </w:rPr>
            </w:pPr>
            <w:r w:rsidRPr="00D61E32">
              <w:rPr>
                <w:rFonts w:ascii="Century Gothic" w:hAnsi="Century Gothic" w:cs="Arial"/>
                <w:b/>
                <w:bCs/>
              </w:rPr>
              <w:t xml:space="preserve">B. Factors for determining whether to remove PA: </w:t>
            </w:r>
          </w:p>
          <w:p w14:paraId="3077EB86" w14:textId="77777777" w:rsidR="00806566" w:rsidRPr="00D61E32" w:rsidRDefault="00806566">
            <w:pPr>
              <w:rPr>
                <w:rFonts w:ascii="Century Gothic" w:hAnsi="Century Gothic" w:cs="Arial"/>
              </w:rPr>
            </w:pPr>
            <w:r w:rsidRPr="00D61E32">
              <w:rPr>
                <w:rFonts w:ascii="Century Gothic" w:hAnsi="Century Gothic" w:cs="Arial"/>
              </w:rPr>
              <w:t>Same as M/S.</w:t>
            </w:r>
          </w:p>
        </w:tc>
      </w:tr>
      <w:tr w:rsidR="00806566" w:rsidRPr="00D61E32" w14:paraId="5F49C14C" w14:textId="77777777" w:rsidTr="00CE4315">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56C42" w14:textId="77777777" w:rsidR="00806566" w:rsidRPr="00D61E32" w:rsidRDefault="00806566">
            <w:pPr>
              <w:rPr>
                <w:rFonts w:ascii="Century Gothic" w:hAnsi="Century Gothic" w:cs="Arial"/>
                <w:b/>
                <w:bCs/>
              </w:rPr>
            </w:pPr>
            <w:r w:rsidRPr="00D61E32">
              <w:rPr>
                <w:rFonts w:ascii="Century Gothic" w:hAnsi="Century Gothic" w:cs="Arial"/>
                <w:b/>
                <w:bCs/>
              </w:rPr>
              <w:t>Step 3 – Identify the evidentiary standards used for the factors identified in Step 2, when applicable, provided that every factor shall be defined, and any other source or evidence relied upon to design and apply Prior Authorization to mental health or substance use disorder benefits and medical or surgical benefits.</w:t>
            </w:r>
          </w:p>
          <w:p w14:paraId="24F6F998" w14:textId="77777777" w:rsidR="00806566" w:rsidRPr="00D61E32" w:rsidRDefault="00806566" w:rsidP="00806566">
            <w:pPr>
              <w:pStyle w:val="ListParagraph"/>
              <w:numPr>
                <w:ilvl w:val="0"/>
                <w:numId w:val="20"/>
              </w:numPr>
              <w:spacing w:after="0" w:line="240" w:lineRule="auto"/>
              <w:rPr>
                <w:rFonts w:ascii="Century Gothic" w:hAnsi="Century Gothic" w:cs="Arial"/>
                <w:bCs/>
                <w:i/>
              </w:rPr>
            </w:pPr>
            <w:r w:rsidRPr="00D61E32">
              <w:rPr>
                <w:rFonts w:ascii="Century Gothic" w:hAnsi="Century Gothic" w:cs="Arial"/>
                <w:bCs/>
                <w:i/>
              </w:rPr>
              <w:t>Analyses should explain whether any factors were given more weight than others and the reason(s) for doing so, including an evaluation of any specific data used in the determination.</w:t>
            </w:r>
          </w:p>
          <w:p w14:paraId="31D1F8FD" w14:textId="77777777" w:rsidR="00806566" w:rsidRPr="00D61E32" w:rsidRDefault="00806566" w:rsidP="00806566">
            <w:pPr>
              <w:pStyle w:val="ListParagraph"/>
              <w:numPr>
                <w:ilvl w:val="0"/>
                <w:numId w:val="20"/>
              </w:numPr>
              <w:spacing w:after="0" w:line="240" w:lineRule="auto"/>
              <w:rPr>
                <w:rFonts w:ascii="Century Gothic" w:hAnsi="Century Gothic" w:cs="Arial"/>
                <w:bCs/>
                <w:i/>
              </w:rPr>
            </w:pPr>
            <w:r w:rsidRPr="00D61E32">
              <w:rPr>
                <w:rFonts w:ascii="Century Gothic" w:hAnsi="Century Gothic" w:cs="Arial"/>
                <w:bCs/>
                <w:i/>
              </w:rPr>
              <w:t>To the extent the plan or issuer defines any of the factors, evidentiary standards, strategies, or processes in a quantitative manner, it must include the precise definitions used and any supporting sources.</w:t>
            </w:r>
            <w:r w:rsidRPr="00D61E32">
              <w:rPr>
                <w:rStyle w:val="FootnoteReference"/>
                <w:rFonts w:ascii="Century Gothic" w:hAnsi="Century Gothic" w:cs="Arial"/>
                <w:bCs/>
                <w:i/>
              </w:rPr>
              <w:footnoteReference w:id="20"/>
            </w:r>
          </w:p>
        </w:tc>
      </w:tr>
      <w:tr w:rsidR="00806566" w:rsidRPr="00D61E32" w14:paraId="387685F8" w14:textId="77777777" w:rsidTr="00E70A33">
        <w:trPr>
          <w:trHeight w:val="737"/>
        </w:trPr>
        <w:tc>
          <w:tcPr>
            <w:tcW w:w="2500" w:type="pct"/>
            <w:tcBorders>
              <w:top w:val="single" w:sz="4" w:space="0" w:color="auto"/>
              <w:left w:val="single" w:sz="4" w:space="0" w:color="auto"/>
              <w:bottom w:val="single" w:sz="4" w:space="0" w:color="auto"/>
              <w:right w:val="single" w:sz="4" w:space="0" w:color="auto"/>
            </w:tcBorders>
          </w:tcPr>
          <w:p w14:paraId="2B897413" w14:textId="77777777" w:rsidR="00806566" w:rsidRPr="00D61E32" w:rsidRDefault="00806566">
            <w:pPr>
              <w:rPr>
                <w:rFonts w:ascii="Century Gothic" w:hAnsi="Century Gothic" w:cs="Arial"/>
              </w:rPr>
            </w:pPr>
            <w:r w:rsidRPr="00D61E32">
              <w:rPr>
                <w:rFonts w:ascii="Century Gothic" w:hAnsi="Century Gothic" w:cs="Arial"/>
                <w:b/>
              </w:rPr>
              <w:t>Medical/Surgical</w:t>
            </w:r>
            <w:r w:rsidRPr="00D61E32">
              <w:rPr>
                <w:rFonts w:ascii="Century Gothic" w:hAnsi="Century Gothic" w:cs="Arial"/>
              </w:rPr>
              <w:t>:</w:t>
            </w:r>
          </w:p>
          <w:p w14:paraId="7951EEC5" w14:textId="77777777" w:rsidR="00806566" w:rsidRPr="00D61E32" w:rsidRDefault="00806566">
            <w:pPr>
              <w:rPr>
                <w:rFonts w:ascii="Century Gothic" w:hAnsi="Century Gothic" w:cs="Arial"/>
                <w:b/>
                <w:bCs/>
              </w:rPr>
            </w:pPr>
            <w:r w:rsidRPr="00D61E32">
              <w:rPr>
                <w:rFonts w:ascii="Century Gothic" w:hAnsi="Century Gothic" w:cs="Arial"/>
                <w:b/>
                <w:bCs/>
              </w:rPr>
              <w:t>A. Factors for determining whether to apply PA:</w:t>
            </w:r>
          </w:p>
          <w:p w14:paraId="5741FD31" w14:textId="77777777" w:rsidR="00806566" w:rsidRPr="00D61E32" w:rsidRDefault="00806566">
            <w:pPr>
              <w:rPr>
                <w:rFonts w:ascii="Century Gothic" w:hAnsi="Century Gothic" w:cs="Arial"/>
              </w:rPr>
            </w:pPr>
            <w:r w:rsidRPr="00D61E32">
              <w:rPr>
                <w:rFonts w:ascii="Century Gothic" w:hAnsi="Century Gothic" w:cs="Arial"/>
              </w:rPr>
              <w:t>1. Cost Benefit Analysis conducted by Cigna</w:t>
            </w:r>
          </w:p>
          <w:p w14:paraId="6FBE4736" w14:textId="77777777" w:rsidR="00806566" w:rsidRPr="00D61E32" w:rsidRDefault="00806566">
            <w:pPr>
              <w:rPr>
                <w:rFonts w:ascii="Century Gothic" w:hAnsi="Century Gothic" w:cs="Arial"/>
                <w:b/>
              </w:rPr>
            </w:pPr>
            <w:r w:rsidRPr="00D61E32">
              <w:rPr>
                <w:rFonts w:ascii="Century Gothic" w:hAnsi="Century Gothic" w:cs="Arial"/>
                <w:b/>
              </w:rPr>
              <w:t>Sources</w:t>
            </w:r>
          </w:p>
          <w:p w14:paraId="71BED614"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COGNOS Internal claims database including measures for volume of services approved, denied, total authorizations, denial rates estimated average cost, cost to review, estimated savings, per member per month savings, return on investment and contracted rates. </w:t>
            </w:r>
          </w:p>
          <w:p w14:paraId="4127BA06"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Expert Medical Review</w:t>
            </w:r>
          </w:p>
          <w:p w14:paraId="2C183C4B"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Input from national </w:t>
            </w:r>
            <w:proofErr w:type="gramStart"/>
            <w:r w:rsidRPr="00D61E32">
              <w:rPr>
                <w:rFonts w:ascii="Century Gothic" w:hAnsi="Century Gothic" w:cs="Arial"/>
              </w:rPr>
              <w:t>vendors</w:t>
            </w:r>
            <w:proofErr w:type="gramEnd"/>
            <w:r w:rsidRPr="00D61E32">
              <w:rPr>
                <w:rFonts w:ascii="Century Gothic" w:hAnsi="Century Gothic" w:cs="Arial"/>
              </w:rPr>
              <w:t xml:space="preserve"> </w:t>
            </w:r>
          </w:p>
          <w:p w14:paraId="38CDC0FE"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Medical Economics biannual provider and facility analyses report for codes not included on precertification </w:t>
            </w:r>
            <w:proofErr w:type="gramStart"/>
            <w:r w:rsidRPr="00D61E32">
              <w:rPr>
                <w:rFonts w:ascii="Century Gothic" w:hAnsi="Century Gothic" w:cs="Arial"/>
              </w:rPr>
              <w:t>list</w:t>
            </w:r>
            <w:proofErr w:type="gramEnd"/>
            <w:r w:rsidRPr="00D61E32">
              <w:rPr>
                <w:rFonts w:ascii="Century Gothic" w:hAnsi="Century Gothic" w:cs="Arial"/>
              </w:rPr>
              <w:t xml:space="preserve"> </w:t>
            </w:r>
          </w:p>
          <w:p w14:paraId="4871AF82"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Nationally recognized evidence-based guidelines and CMS and HCPS updates </w:t>
            </w:r>
          </w:p>
          <w:p w14:paraId="4C66E2E5"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Industry accepted procedures codes developed by:</w:t>
            </w:r>
          </w:p>
          <w:p w14:paraId="221B4EC6"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American Medical Association (AMA) publication of  the Current Procedural Terminology (CPT) book</w:t>
            </w:r>
          </w:p>
          <w:p w14:paraId="0CA9C4C5"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American Hospital Association (AHA) publication of  revenue codes </w:t>
            </w:r>
          </w:p>
          <w:p w14:paraId="67EE6DF0"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American Formulary Association (AFA) publication of codes</w:t>
            </w:r>
          </w:p>
          <w:p w14:paraId="340B4033" w14:textId="7EFFEE78" w:rsidR="00806566" w:rsidRPr="00D61E32" w:rsidRDefault="00806566" w:rsidP="00D61E32">
            <w:pPr>
              <w:pStyle w:val="ListParagraph"/>
              <w:numPr>
                <w:ilvl w:val="0"/>
                <w:numId w:val="21"/>
              </w:numPr>
              <w:spacing w:after="0" w:line="240" w:lineRule="auto"/>
              <w:rPr>
                <w:rFonts w:ascii="Century Gothic" w:hAnsi="Century Gothic" w:cs="Arial"/>
              </w:rPr>
            </w:pPr>
            <w:r w:rsidRPr="00D61E32">
              <w:rPr>
                <w:rFonts w:ascii="Century Gothic" w:hAnsi="Century Gothic" w:cs="Arial"/>
              </w:rPr>
              <w:t>Centers for Medicare and Medicaid Services (CMS) publication of codes</w:t>
            </w:r>
          </w:p>
          <w:p w14:paraId="2EAAB740" w14:textId="77777777" w:rsidR="00806566" w:rsidRPr="00D61E32" w:rsidRDefault="00806566">
            <w:pPr>
              <w:rPr>
                <w:rFonts w:ascii="Century Gothic" w:hAnsi="Century Gothic" w:cs="Arial"/>
                <w:b/>
              </w:rPr>
            </w:pPr>
            <w:r w:rsidRPr="00D61E32">
              <w:rPr>
                <w:rFonts w:ascii="Century Gothic" w:hAnsi="Century Gothic" w:cs="Arial"/>
                <w:b/>
              </w:rPr>
              <w:t xml:space="preserve">Evidentiary Standards </w:t>
            </w:r>
          </w:p>
          <w:p w14:paraId="6644DA1B" w14:textId="77777777" w:rsidR="00806566" w:rsidRPr="00D61E32" w:rsidRDefault="00806566">
            <w:pPr>
              <w:rPr>
                <w:rFonts w:ascii="Century Gothic" w:hAnsi="Century Gothic" w:cs="Arial"/>
                <w:u w:val="single"/>
                <w:lang w:bidi="en-US"/>
              </w:rPr>
            </w:pPr>
            <w:r w:rsidRPr="00D61E32">
              <w:rPr>
                <w:rFonts w:ascii="Century Gothic" w:hAnsi="Century Gothic" w:cs="Arial"/>
                <w:u w:val="single"/>
                <w:lang w:bidi="en-US"/>
              </w:rPr>
              <w:t>Inpatient</w:t>
            </w:r>
          </w:p>
          <w:p w14:paraId="7A701F10" w14:textId="77777777" w:rsidR="00806566" w:rsidRPr="00D61E32" w:rsidRDefault="00806566">
            <w:pPr>
              <w:rPr>
                <w:rFonts w:ascii="Century Gothic" w:hAnsi="Century Gothic" w:cs="Arial"/>
                <w:lang w:bidi="en-US"/>
              </w:rPr>
            </w:pPr>
            <w:r w:rsidRPr="00D61E32">
              <w:rPr>
                <w:rFonts w:ascii="Century Gothic" w:hAnsi="Century Gothic" w:cs="Arial"/>
                <w:lang w:bidi="en-US"/>
              </w:rPr>
              <w:t xml:space="preserve">The evidentiary standard relied on to determine whether to apply prior authorization to inpatient M/S benefits is whether application of prior authorization produces positive financial savings, as measured in the aggregate across the Cigna-administered book-of-business. Cigna has determined the value of subjecting all inpatient In-Network and Out-of-Network M/S services to prior authorization/precertification review must exceed the administrative costs by at least 1:1. </w:t>
            </w:r>
            <w:r w:rsidRPr="00D61E32">
              <w:rPr>
                <w:rFonts w:ascii="Century Gothic" w:hAnsi="Century Gothic" w:cs="Arial"/>
              </w:rPr>
              <w:t>The ROI ratio is calculated using the following formula:</w:t>
            </w:r>
          </w:p>
          <w:p w14:paraId="3A64A02D" w14:textId="77777777" w:rsidR="00806566" w:rsidRPr="00D61E32" w:rsidRDefault="00806566" w:rsidP="00806566">
            <w:pPr>
              <w:pStyle w:val="ListParagraph"/>
              <w:numPr>
                <w:ilvl w:val="0"/>
                <w:numId w:val="21"/>
              </w:numPr>
              <w:spacing w:after="0" w:line="240" w:lineRule="auto"/>
              <w:rPr>
                <w:rFonts w:ascii="Century Gothic" w:hAnsi="Century Gothic" w:cs="Arial"/>
                <w:lang w:val="en-GB"/>
              </w:rPr>
            </w:pPr>
            <w:r w:rsidRPr="00D61E32">
              <w:rPr>
                <w:rFonts w:ascii="Century Gothic" w:hAnsi="Century Gothic" w:cs="Arial"/>
                <w:lang w:val="en-GB"/>
              </w:rPr>
              <w:t xml:space="preserve">The actual or anticipated denial rate of the service multiplied by the average unit cost (or, as applicable, cumulative cost) of the service, with the resulting figure divided by the estimated cost to review the total number of services. </w:t>
            </w:r>
          </w:p>
          <w:p w14:paraId="41619F76" w14:textId="77777777" w:rsidR="00806566" w:rsidRPr="00D61E32" w:rsidRDefault="00806566" w:rsidP="00806566">
            <w:pPr>
              <w:pStyle w:val="ListParagraph"/>
              <w:numPr>
                <w:ilvl w:val="0"/>
                <w:numId w:val="21"/>
              </w:numPr>
              <w:spacing w:after="0" w:line="240" w:lineRule="auto"/>
              <w:rPr>
                <w:rFonts w:ascii="Century Gothic" w:hAnsi="Century Gothic" w:cs="Arial"/>
                <w:lang w:val="en-GB"/>
              </w:rPr>
            </w:pPr>
            <w:r w:rsidRPr="00D61E32">
              <w:rPr>
                <w:rFonts w:ascii="Century Gothic" w:hAnsi="Century Gothic" w:cs="Arial"/>
                <w:lang w:val="en-GB"/>
              </w:rPr>
              <w:t>For services for which Cigna maintains historic claims data, Cigna calculates the denial rate by reference to the actual denial rate as reflected in the historic book-of-business claims data it maintains.  The average unit cost of the service is calculated based on Cigna's historical paid claims for the service across its commercial book of business.  The estimated cost to perform a coverage review is $40 per review, which is informed by costs/expenses such as personnel salaries and time.</w:t>
            </w:r>
          </w:p>
          <w:p w14:paraId="05951AA5" w14:textId="77777777" w:rsidR="00806566" w:rsidRPr="00D61E32" w:rsidRDefault="00806566">
            <w:pPr>
              <w:rPr>
                <w:rFonts w:ascii="Century Gothic" w:hAnsi="Century Gothic" w:cs="Arial"/>
              </w:rPr>
            </w:pPr>
            <w:r w:rsidRPr="00D61E32">
              <w:rPr>
                <w:rFonts w:ascii="Century Gothic" w:hAnsi="Century Gothic" w:cs="Arial"/>
              </w:rPr>
              <w:t xml:space="preserve">Clinical Appropriateness is defined as those services </w:t>
            </w:r>
            <w:proofErr w:type="gramStart"/>
            <w:r w:rsidRPr="00D61E32">
              <w:rPr>
                <w:rFonts w:ascii="Century Gothic" w:hAnsi="Century Gothic" w:cs="Arial"/>
              </w:rPr>
              <w:t>that</w:t>
            </w:r>
            <w:proofErr w:type="gramEnd"/>
            <w:r w:rsidRPr="00D61E32">
              <w:rPr>
                <w:rFonts w:ascii="Century Gothic" w:hAnsi="Century Gothic" w:cs="Arial"/>
              </w:rPr>
              <w:t xml:space="preserve"> as determined in the exercise of the professional judgement of Cigna’s internal medical experts, are in accordance with generally accepted standards of care and nationally recognized guidelines. Nationally recognized guidelines are included in Cigna’s “Levels of Scientific Evidence Table” adapted from the Centre for Evidence Based Medicine, University of Oxford, March 2009 as outlined in the development of clinical criteria of Medical Necessity. </w:t>
            </w:r>
          </w:p>
          <w:p w14:paraId="64E15E1D" w14:textId="77777777" w:rsidR="00806566" w:rsidRPr="00D61E32" w:rsidRDefault="00806566">
            <w:pPr>
              <w:rPr>
                <w:rFonts w:ascii="Century Gothic" w:hAnsi="Century Gothic" w:cs="Arial"/>
              </w:rPr>
            </w:pPr>
          </w:p>
          <w:p w14:paraId="34E47A51" w14:textId="77777777" w:rsidR="00806566" w:rsidRPr="00D61E32" w:rsidRDefault="00806566">
            <w:pPr>
              <w:rPr>
                <w:rFonts w:ascii="Century Gothic" w:hAnsi="Century Gothic" w:cs="Arial"/>
              </w:rPr>
            </w:pPr>
          </w:p>
          <w:p w14:paraId="3C3551F6" w14:textId="77777777" w:rsidR="00806566" w:rsidRPr="00D61E32" w:rsidRDefault="00806566">
            <w:pPr>
              <w:rPr>
                <w:rFonts w:ascii="Century Gothic" w:hAnsi="Century Gothic" w:cs="Arial"/>
              </w:rPr>
            </w:pPr>
          </w:p>
          <w:p w14:paraId="649630B8" w14:textId="77777777" w:rsidR="00806566" w:rsidRPr="00D61E32" w:rsidRDefault="00806566">
            <w:pPr>
              <w:rPr>
                <w:rFonts w:ascii="Century Gothic" w:hAnsi="Century Gothic" w:cs="Arial"/>
              </w:rPr>
            </w:pPr>
          </w:p>
          <w:p w14:paraId="70D7E153" w14:textId="77777777" w:rsidR="00806566" w:rsidRPr="00D61E32" w:rsidRDefault="00806566">
            <w:pPr>
              <w:rPr>
                <w:rFonts w:ascii="Century Gothic" w:hAnsi="Century Gothic" w:cs="Arial"/>
              </w:rPr>
            </w:pPr>
          </w:p>
          <w:p w14:paraId="24EC2F3B" w14:textId="77777777" w:rsidR="00806566" w:rsidRPr="00D61E32" w:rsidRDefault="00806566">
            <w:pPr>
              <w:rPr>
                <w:rFonts w:ascii="Century Gothic" w:hAnsi="Century Gothic" w:cs="Arial"/>
              </w:rPr>
            </w:pPr>
          </w:p>
          <w:p w14:paraId="13DCAA80" w14:textId="77777777" w:rsidR="00806566" w:rsidRPr="00D61E32" w:rsidRDefault="00806566">
            <w:pPr>
              <w:rPr>
                <w:rFonts w:ascii="Century Gothic" w:hAnsi="Century Gothic" w:cs="Arial"/>
              </w:rPr>
            </w:pPr>
          </w:p>
          <w:p w14:paraId="1385AF98" w14:textId="77777777" w:rsidR="00806566" w:rsidRPr="00D61E32" w:rsidRDefault="00806566">
            <w:pPr>
              <w:rPr>
                <w:rFonts w:ascii="Century Gothic" w:hAnsi="Century Gothic" w:cs="Arial"/>
              </w:rPr>
            </w:pPr>
          </w:p>
          <w:p w14:paraId="0AAE0B73" w14:textId="77777777" w:rsidR="00806566" w:rsidRPr="00D61E32" w:rsidRDefault="00806566">
            <w:pPr>
              <w:rPr>
                <w:rFonts w:ascii="Century Gothic" w:hAnsi="Century Gothic" w:cs="Arial"/>
              </w:rPr>
            </w:pPr>
          </w:p>
          <w:p w14:paraId="51F9FB37" w14:textId="77777777" w:rsidR="00806566" w:rsidRDefault="00806566">
            <w:pPr>
              <w:rPr>
                <w:rFonts w:ascii="Century Gothic" w:hAnsi="Century Gothic" w:cs="Arial"/>
              </w:rPr>
            </w:pPr>
          </w:p>
          <w:p w14:paraId="77BA76D0" w14:textId="77777777" w:rsidR="00D61E32" w:rsidRDefault="00D61E32">
            <w:pPr>
              <w:rPr>
                <w:rFonts w:ascii="Century Gothic" w:hAnsi="Century Gothic" w:cs="Arial"/>
              </w:rPr>
            </w:pPr>
          </w:p>
          <w:p w14:paraId="3C8F9C5D" w14:textId="77777777" w:rsidR="00D61E32" w:rsidRDefault="00D61E32">
            <w:pPr>
              <w:rPr>
                <w:rFonts w:ascii="Century Gothic" w:hAnsi="Century Gothic" w:cs="Arial"/>
              </w:rPr>
            </w:pPr>
          </w:p>
          <w:p w14:paraId="626D0646" w14:textId="77777777" w:rsidR="00D61E32" w:rsidRDefault="00D61E32">
            <w:pPr>
              <w:rPr>
                <w:rFonts w:ascii="Century Gothic" w:hAnsi="Century Gothic" w:cs="Arial"/>
              </w:rPr>
            </w:pPr>
          </w:p>
          <w:p w14:paraId="6DF77DF5" w14:textId="77777777" w:rsidR="00D61E32" w:rsidRPr="00D61E32" w:rsidRDefault="00D61E32">
            <w:pPr>
              <w:rPr>
                <w:rFonts w:ascii="Century Gothic" w:hAnsi="Century Gothic" w:cs="Arial"/>
              </w:rPr>
            </w:pPr>
          </w:p>
          <w:p w14:paraId="7E274EE9" w14:textId="77777777" w:rsidR="00806566" w:rsidRPr="00D61E32" w:rsidRDefault="00806566">
            <w:pPr>
              <w:rPr>
                <w:rFonts w:ascii="Century Gothic" w:hAnsi="Century Gothic" w:cs="Arial"/>
              </w:rPr>
            </w:pPr>
          </w:p>
          <w:p w14:paraId="450B29FE" w14:textId="77777777" w:rsidR="00806566" w:rsidRPr="00D61E32" w:rsidRDefault="00806566">
            <w:pPr>
              <w:rPr>
                <w:rFonts w:ascii="Century Gothic" w:hAnsi="Century Gothic" w:cs="Arial"/>
                <w:b/>
                <w:bCs/>
              </w:rPr>
            </w:pPr>
            <w:r w:rsidRPr="00D61E32">
              <w:rPr>
                <w:rFonts w:ascii="Century Gothic" w:hAnsi="Century Gothic" w:cs="Arial"/>
                <w:b/>
                <w:bCs/>
              </w:rPr>
              <w:t xml:space="preserve">B. Factors for determining whether to remove PA: </w:t>
            </w:r>
          </w:p>
          <w:p w14:paraId="5856DE19" w14:textId="77777777" w:rsidR="00806566" w:rsidRPr="00D61E32" w:rsidRDefault="00806566" w:rsidP="00806566">
            <w:pPr>
              <w:pStyle w:val="ListParagraph"/>
              <w:numPr>
                <w:ilvl w:val="0"/>
                <w:numId w:val="22"/>
              </w:numPr>
              <w:spacing w:after="0" w:line="240" w:lineRule="auto"/>
              <w:rPr>
                <w:rFonts w:ascii="Century Gothic" w:hAnsi="Century Gothic" w:cs="Arial"/>
              </w:rPr>
            </w:pPr>
            <w:r w:rsidRPr="00D61E32">
              <w:rPr>
                <w:rFonts w:ascii="Century Gothic" w:hAnsi="Century Gothic" w:cs="Arial"/>
              </w:rPr>
              <w:t xml:space="preserve">Factor 1: Return on </w:t>
            </w:r>
            <w:proofErr w:type="gramStart"/>
            <w:r w:rsidRPr="00D61E32">
              <w:rPr>
                <w:rFonts w:ascii="Century Gothic" w:hAnsi="Century Gothic" w:cs="Arial"/>
              </w:rPr>
              <w:t>investment</w:t>
            </w:r>
            <w:proofErr w:type="gramEnd"/>
          </w:p>
          <w:p w14:paraId="17934358" w14:textId="77777777" w:rsidR="00806566" w:rsidRPr="00D61E32" w:rsidRDefault="00806566" w:rsidP="00E70A33">
            <w:pPr>
              <w:pStyle w:val="ListParagraph"/>
              <w:spacing w:after="0" w:line="240" w:lineRule="auto"/>
              <w:rPr>
                <w:rFonts w:ascii="Century Gothic" w:hAnsi="Century Gothic" w:cs="Arial"/>
              </w:rPr>
            </w:pPr>
            <w:r w:rsidRPr="00D61E32">
              <w:rPr>
                <w:rFonts w:ascii="Century Gothic" w:hAnsi="Century Gothic" w:cs="Arial"/>
              </w:rPr>
              <w:t xml:space="preserve">Source: </w:t>
            </w:r>
          </w:p>
          <w:p w14:paraId="078B4DC8" w14:textId="77777777" w:rsidR="00806566" w:rsidRPr="00D61E32" w:rsidRDefault="00806566" w:rsidP="00E70A33">
            <w:pPr>
              <w:pStyle w:val="ListParagraph"/>
              <w:spacing w:after="0" w:line="240" w:lineRule="auto"/>
              <w:rPr>
                <w:rFonts w:ascii="Century Gothic" w:hAnsi="Century Gothic" w:cs="Arial"/>
              </w:rPr>
            </w:pPr>
            <w:r w:rsidRPr="00D61E32">
              <w:rPr>
                <w:rFonts w:ascii="Century Gothic" w:hAnsi="Century Gothic" w:cs="Arial"/>
              </w:rPr>
              <w:t xml:space="preserve">Wellfleet claims data, </w:t>
            </w:r>
          </w:p>
          <w:p w14:paraId="063397B9" w14:textId="77777777" w:rsidR="00806566" w:rsidRPr="00D61E32" w:rsidRDefault="00806566" w:rsidP="00E70A33">
            <w:pPr>
              <w:pStyle w:val="ListParagraph"/>
              <w:spacing w:after="0" w:line="240" w:lineRule="auto"/>
              <w:rPr>
                <w:rFonts w:ascii="Century Gothic" w:hAnsi="Century Gothic" w:cs="Arial"/>
              </w:rPr>
            </w:pPr>
            <w:r w:rsidRPr="00D61E32">
              <w:rPr>
                <w:rFonts w:ascii="Century Gothic" w:hAnsi="Century Gothic" w:cs="Arial"/>
              </w:rPr>
              <w:t xml:space="preserve">Charges by delegated Review Organization to perform Prior Authorization on add-on </w:t>
            </w:r>
            <w:proofErr w:type="gramStart"/>
            <w:r w:rsidRPr="00D61E32">
              <w:rPr>
                <w:rFonts w:ascii="Century Gothic" w:hAnsi="Century Gothic" w:cs="Arial"/>
              </w:rPr>
              <w:t>services</w:t>
            </w:r>
            <w:proofErr w:type="gramEnd"/>
          </w:p>
          <w:p w14:paraId="0450522D" w14:textId="77777777" w:rsidR="00806566" w:rsidRPr="00D61E32" w:rsidRDefault="00806566"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Evidentiary Standard: ROI&lt;1 is required to remove a benefit from the PA list. ROI of a specific service type is calculated as follows:</w:t>
            </w:r>
          </w:p>
          <w:p w14:paraId="186D4425" w14:textId="77777777" w:rsidR="00806566" w:rsidRPr="00D61E32" w:rsidRDefault="00806566" w:rsidP="00E70A33">
            <w:pPr>
              <w:pStyle w:val="ListParagraph"/>
              <w:spacing w:after="0" w:line="240" w:lineRule="auto"/>
              <w:rPr>
                <w:rFonts w:ascii="Century Gothic" w:hAnsi="Century Gothic" w:cs="Arial"/>
              </w:rPr>
            </w:pPr>
            <w:bookmarkStart w:id="5" w:name="OLE_LINK7"/>
            <w:r w:rsidRPr="00D61E32">
              <w:rPr>
                <w:rFonts w:ascii="Century Gothic" w:hAnsi="Century Gothic" w:cs="Arial"/>
              </w:rPr>
              <w:t xml:space="preserve">Wellfleet (through its Chief Medical Officer and Finance Department) determines the annual savings from prior authorization by adding up all approved charges for a specific service type using the initial ICD-10 code (to identify M/S vs. MH/SUD) and &amp; specified CPT codes (to identify a specific service type) that were requested but denied and not overturned on </w:t>
            </w:r>
            <w:proofErr w:type="gramStart"/>
            <w:r w:rsidRPr="00D61E32">
              <w:rPr>
                <w:rFonts w:ascii="Century Gothic" w:hAnsi="Century Gothic" w:cs="Arial"/>
              </w:rPr>
              <w:t>appeal</w:t>
            </w:r>
            <w:proofErr w:type="gramEnd"/>
          </w:p>
          <w:p w14:paraId="32DBF0F8" w14:textId="77777777" w:rsidR="00806566" w:rsidRPr="00D61E32" w:rsidRDefault="00806566"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Then, Wellfleet determines the annual cost of prior authorization for a specified service type as follows:</w:t>
            </w:r>
          </w:p>
          <w:p w14:paraId="3AB83668" w14:textId="77777777" w:rsidR="00806566" w:rsidRPr="00D61E32" w:rsidRDefault="00806566"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For each month of the year, Wellfleet multiplies Cigna’s per member per month charge for prior authorization of the specified service type, times the number of members in all the plans delegated to Cigna for utilization review that month.</w:t>
            </w:r>
          </w:p>
          <w:p w14:paraId="480C053A" w14:textId="77777777" w:rsidR="00806566" w:rsidRPr="00D61E32" w:rsidRDefault="00806566"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Wellfleet adds the costs above for all twelve (12) months together to yield the total annual cost of prior authorization of that specified service </w:t>
            </w:r>
            <w:proofErr w:type="gramStart"/>
            <w:r w:rsidRPr="00D61E32">
              <w:rPr>
                <w:rFonts w:ascii="Century Gothic" w:hAnsi="Century Gothic" w:cs="Arial"/>
              </w:rPr>
              <w:t>type</w:t>
            </w:r>
            <w:proofErr w:type="gramEnd"/>
          </w:p>
          <w:p w14:paraId="10316CEC" w14:textId="77777777" w:rsidR="00806566" w:rsidRPr="00D61E32" w:rsidRDefault="00806566"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Wellfleet determines the ROI of a specified service type by dividing the total annual savings by the total annual costs for that specified service type.</w:t>
            </w:r>
          </w:p>
          <w:p w14:paraId="532C4DF5" w14:textId="77777777" w:rsidR="00806566" w:rsidRPr="00D61E32" w:rsidRDefault="00806566"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If ROI is &lt; 1, prior authorization will be removed from the </w:t>
            </w:r>
            <w:proofErr w:type="gramStart"/>
            <w:r w:rsidRPr="00D61E32">
              <w:rPr>
                <w:rFonts w:ascii="Century Gothic" w:hAnsi="Century Gothic" w:cs="Arial"/>
              </w:rPr>
              <w:t>service</w:t>
            </w:r>
            <w:proofErr w:type="gramEnd"/>
            <w:r w:rsidRPr="00D61E32">
              <w:rPr>
                <w:rFonts w:ascii="Century Gothic" w:hAnsi="Century Gothic" w:cs="Arial"/>
              </w:rPr>
              <w:t xml:space="preserve"> </w:t>
            </w:r>
          </w:p>
          <w:bookmarkEnd w:id="5"/>
          <w:p w14:paraId="65B7A0FE" w14:textId="77777777" w:rsidR="00806566" w:rsidRPr="00D61E32" w:rsidRDefault="00806566" w:rsidP="00806566">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Factor 2: School (client) preference [Note: this factor is only used to remove Prior Authorization from MH/SUD </w:t>
            </w:r>
            <w:proofErr w:type="gramStart"/>
            <w:r w:rsidRPr="00D61E32">
              <w:rPr>
                <w:rFonts w:ascii="Century Gothic" w:hAnsi="Century Gothic" w:cs="Arial"/>
              </w:rPr>
              <w:t>benefits, and</w:t>
            </w:r>
            <w:proofErr w:type="gramEnd"/>
            <w:r w:rsidRPr="00D61E32">
              <w:rPr>
                <w:rFonts w:ascii="Century Gothic" w:hAnsi="Century Gothic" w:cs="Arial"/>
              </w:rPr>
              <w:t xml:space="preserve"> is never used to apply PA to MH/SUD benefits, thus this factor only serves to make MH/SUD benefits more accessible to members by potentially eliminating PA from certain MH/SUD services]. </w:t>
            </w:r>
          </w:p>
          <w:p w14:paraId="50A82D2E" w14:textId="77777777" w:rsidR="00806566" w:rsidRPr="00D61E32" w:rsidRDefault="00806566"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Source: School (client) decision to remove a benefit from the list*</w:t>
            </w:r>
          </w:p>
          <w:p w14:paraId="5EDA0FAE" w14:textId="77777777" w:rsidR="00806566" w:rsidRPr="00D61E32" w:rsidRDefault="00806566"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Evidentiary Standard:  PA will be removed if the school (client) states that they do not want a certain benefit to be subject to PA and: </w:t>
            </w:r>
          </w:p>
          <w:p w14:paraId="6E987B79" w14:textId="77777777" w:rsidR="00806566" w:rsidRPr="00D61E32" w:rsidRDefault="00806566" w:rsidP="00E70A33">
            <w:pPr>
              <w:pStyle w:val="ListParagraph"/>
              <w:numPr>
                <w:ilvl w:val="1"/>
                <w:numId w:val="21"/>
              </w:numPr>
              <w:spacing w:after="0" w:line="240" w:lineRule="auto"/>
              <w:rPr>
                <w:rFonts w:ascii="Century Gothic" w:hAnsi="Century Gothic" w:cs="Arial"/>
              </w:rPr>
            </w:pPr>
            <w:r w:rsidRPr="00D61E32">
              <w:rPr>
                <w:rFonts w:ascii="Century Gothic" w:hAnsi="Century Gothic" w:cs="Arial"/>
              </w:rPr>
              <w:t>(a) that preference is negotiated as part of the sales process, or</w:t>
            </w:r>
          </w:p>
          <w:p w14:paraId="0802EE25" w14:textId="52E64B1A" w:rsidR="00806566" w:rsidRPr="00E70A33" w:rsidRDefault="00806566" w:rsidP="00E70A33">
            <w:pPr>
              <w:pStyle w:val="ListParagraph"/>
              <w:numPr>
                <w:ilvl w:val="1"/>
                <w:numId w:val="21"/>
              </w:numPr>
              <w:spacing w:after="0" w:line="240" w:lineRule="auto"/>
              <w:rPr>
                <w:rFonts w:ascii="Century Gothic" w:hAnsi="Century Gothic" w:cs="Arial"/>
              </w:rPr>
            </w:pPr>
            <w:r w:rsidRPr="00D61E32">
              <w:rPr>
                <w:rFonts w:ascii="Century Gothic" w:hAnsi="Century Gothic" w:cs="Arial"/>
              </w:rPr>
              <w:t xml:space="preserve">(b) that preference is provided in writing in an independent decision by the school (client) </w:t>
            </w:r>
            <w:proofErr w:type="gramStart"/>
            <w:r w:rsidRPr="00D61E32">
              <w:rPr>
                <w:rFonts w:ascii="Century Gothic" w:hAnsi="Century Gothic" w:cs="Arial"/>
              </w:rPr>
              <w:t>at a later date</w:t>
            </w:r>
            <w:proofErr w:type="gramEnd"/>
            <w:r w:rsidRPr="00D61E32">
              <w:rPr>
                <w:rFonts w:ascii="Century Gothic" w:hAnsi="Century Gothic" w:cs="Arial"/>
              </w:rPr>
              <w:t>.</w:t>
            </w:r>
          </w:p>
        </w:tc>
        <w:tc>
          <w:tcPr>
            <w:tcW w:w="2500" w:type="pct"/>
            <w:tcBorders>
              <w:top w:val="single" w:sz="4" w:space="0" w:color="auto"/>
              <w:left w:val="single" w:sz="4" w:space="0" w:color="auto"/>
              <w:bottom w:val="single" w:sz="4" w:space="0" w:color="auto"/>
              <w:right w:val="single" w:sz="4" w:space="0" w:color="auto"/>
            </w:tcBorders>
          </w:tcPr>
          <w:p w14:paraId="7376BD3B" w14:textId="77777777" w:rsidR="00806566" w:rsidRPr="00D61E32" w:rsidRDefault="00806566">
            <w:pPr>
              <w:rPr>
                <w:rFonts w:ascii="Century Gothic" w:hAnsi="Century Gothic" w:cs="Arial"/>
              </w:rPr>
            </w:pPr>
            <w:r w:rsidRPr="00D61E32">
              <w:rPr>
                <w:rFonts w:ascii="Century Gothic" w:hAnsi="Century Gothic" w:cs="Arial"/>
                <w:b/>
              </w:rPr>
              <w:t>MH/SUD</w:t>
            </w:r>
            <w:r w:rsidRPr="00D61E32">
              <w:rPr>
                <w:rFonts w:ascii="Century Gothic" w:hAnsi="Century Gothic" w:cs="Arial"/>
              </w:rPr>
              <w:t>:</w:t>
            </w:r>
          </w:p>
          <w:p w14:paraId="04770254" w14:textId="77777777" w:rsidR="00806566" w:rsidRPr="00D61E32" w:rsidRDefault="00806566">
            <w:pPr>
              <w:rPr>
                <w:rFonts w:ascii="Century Gothic" w:hAnsi="Century Gothic" w:cs="Arial"/>
                <w:b/>
                <w:bCs/>
              </w:rPr>
            </w:pPr>
            <w:r w:rsidRPr="00D61E32">
              <w:rPr>
                <w:rFonts w:ascii="Century Gothic" w:hAnsi="Century Gothic" w:cs="Arial"/>
                <w:b/>
                <w:bCs/>
              </w:rPr>
              <w:t>A. Factors for determining whether to apply PA:</w:t>
            </w:r>
          </w:p>
          <w:p w14:paraId="64A10291" w14:textId="77777777" w:rsidR="00806566" w:rsidRPr="00D61E32" w:rsidRDefault="00806566">
            <w:pPr>
              <w:rPr>
                <w:rFonts w:ascii="Century Gothic" w:hAnsi="Century Gothic" w:cs="Arial"/>
              </w:rPr>
            </w:pPr>
            <w:r w:rsidRPr="00D61E32">
              <w:rPr>
                <w:rFonts w:ascii="Century Gothic" w:hAnsi="Century Gothic" w:cs="Arial"/>
              </w:rPr>
              <w:t>Same as M/S</w:t>
            </w:r>
          </w:p>
          <w:p w14:paraId="797B5961" w14:textId="77777777" w:rsidR="00806566" w:rsidRPr="00D61E32" w:rsidRDefault="00806566">
            <w:pPr>
              <w:rPr>
                <w:rFonts w:ascii="Century Gothic" w:hAnsi="Century Gothic" w:cs="Arial"/>
                <w:b/>
              </w:rPr>
            </w:pPr>
            <w:r w:rsidRPr="00D61E32">
              <w:rPr>
                <w:rFonts w:ascii="Century Gothic" w:hAnsi="Century Gothic" w:cs="Arial"/>
                <w:b/>
              </w:rPr>
              <w:t xml:space="preserve">Sources: </w:t>
            </w:r>
          </w:p>
          <w:p w14:paraId="0C20CBB6" w14:textId="77777777" w:rsidR="00806566" w:rsidRPr="00D61E32" w:rsidRDefault="00806566">
            <w:pPr>
              <w:rPr>
                <w:rFonts w:ascii="Century Gothic" w:hAnsi="Century Gothic" w:cs="Arial"/>
                <w:b/>
              </w:rPr>
            </w:pPr>
            <w:r w:rsidRPr="00D61E32">
              <w:rPr>
                <w:rFonts w:ascii="Century Gothic" w:hAnsi="Century Gothic" w:cs="Arial"/>
                <w:bCs/>
              </w:rPr>
              <w:t>Same as M/S</w:t>
            </w:r>
          </w:p>
          <w:p w14:paraId="6133C721" w14:textId="77777777" w:rsidR="00806566" w:rsidRPr="00D61E32" w:rsidRDefault="00806566">
            <w:pPr>
              <w:rPr>
                <w:rFonts w:ascii="Century Gothic" w:hAnsi="Century Gothic" w:cs="Arial"/>
              </w:rPr>
            </w:pPr>
          </w:p>
          <w:p w14:paraId="1A6B17CE" w14:textId="77777777" w:rsidR="00806566" w:rsidRPr="00D61E32" w:rsidRDefault="00806566">
            <w:pPr>
              <w:rPr>
                <w:rFonts w:ascii="Century Gothic" w:hAnsi="Century Gothic" w:cs="Arial"/>
              </w:rPr>
            </w:pPr>
          </w:p>
          <w:p w14:paraId="197CF302" w14:textId="77777777" w:rsidR="00806566" w:rsidRPr="00D61E32" w:rsidRDefault="00806566">
            <w:pPr>
              <w:rPr>
                <w:rFonts w:ascii="Century Gothic" w:hAnsi="Century Gothic" w:cs="Arial"/>
              </w:rPr>
            </w:pPr>
          </w:p>
          <w:p w14:paraId="69835DE7" w14:textId="77777777" w:rsidR="00806566" w:rsidRPr="00D61E32" w:rsidRDefault="00806566">
            <w:pPr>
              <w:rPr>
                <w:rFonts w:ascii="Century Gothic" w:hAnsi="Century Gothic" w:cs="Arial"/>
              </w:rPr>
            </w:pPr>
          </w:p>
          <w:p w14:paraId="6FB66060" w14:textId="77777777" w:rsidR="00806566" w:rsidRPr="00D61E32" w:rsidRDefault="00806566">
            <w:pPr>
              <w:rPr>
                <w:rFonts w:ascii="Century Gothic" w:hAnsi="Century Gothic" w:cs="Arial"/>
              </w:rPr>
            </w:pPr>
          </w:p>
          <w:p w14:paraId="429C2D93" w14:textId="77777777" w:rsidR="00806566" w:rsidRPr="00D61E32" w:rsidRDefault="00806566">
            <w:pPr>
              <w:rPr>
                <w:rFonts w:ascii="Century Gothic" w:hAnsi="Century Gothic" w:cs="Arial"/>
              </w:rPr>
            </w:pPr>
          </w:p>
          <w:p w14:paraId="7C8D2D0D" w14:textId="77777777" w:rsidR="00806566" w:rsidRPr="00D61E32" w:rsidRDefault="00806566">
            <w:pPr>
              <w:rPr>
                <w:rFonts w:ascii="Century Gothic" w:hAnsi="Century Gothic" w:cs="Arial"/>
              </w:rPr>
            </w:pPr>
          </w:p>
          <w:p w14:paraId="4F0644F5" w14:textId="77777777" w:rsidR="00806566" w:rsidRPr="00D61E32" w:rsidRDefault="00806566">
            <w:pPr>
              <w:rPr>
                <w:rFonts w:ascii="Century Gothic" w:hAnsi="Century Gothic" w:cs="Arial"/>
              </w:rPr>
            </w:pPr>
          </w:p>
          <w:p w14:paraId="3E9040F2" w14:textId="77777777" w:rsidR="00806566" w:rsidRPr="00D61E32" w:rsidRDefault="00806566">
            <w:pPr>
              <w:rPr>
                <w:rFonts w:ascii="Century Gothic" w:hAnsi="Century Gothic" w:cs="Arial"/>
              </w:rPr>
            </w:pPr>
          </w:p>
          <w:p w14:paraId="3F186ADE" w14:textId="77777777" w:rsidR="00806566" w:rsidRPr="00D61E32" w:rsidRDefault="00806566">
            <w:pPr>
              <w:rPr>
                <w:rFonts w:ascii="Century Gothic" w:hAnsi="Century Gothic" w:cs="Arial"/>
              </w:rPr>
            </w:pPr>
          </w:p>
          <w:p w14:paraId="26C89028" w14:textId="77777777" w:rsidR="00806566" w:rsidRPr="00D61E32" w:rsidRDefault="00806566">
            <w:pPr>
              <w:rPr>
                <w:rFonts w:ascii="Century Gothic" w:hAnsi="Century Gothic" w:cs="Arial"/>
              </w:rPr>
            </w:pPr>
          </w:p>
          <w:p w14:paraId="774F0946" w14:textId="77777777" w:rsidR="00806566" w:rsidRPr="00D61E32" w:rsidRDefault="00806566">
            <w:pPr>
              <w:rPr>
                <w:rFonts w:ascii="Century Gothic" w:hAnsi="Century Gothic" w:cs="Arial"/>
              </w:rPr>
            </w:pPr>
          </w:p>
          <w:p w14:paraId="2E23ABDB" w14:textId="77777777" w:rsidR="00806566" w:rsidRPr="00D61E32" w:rsidRDefault="00806566">
            <w:pPr>
              <w:rPr>
                <w:rFonts w:ascii="Century Gothic" w:hAnsi="Century Gothic" w:cs="Arial"/>
              </w:rPr>
            </w:pPr>
          </w:p>
          <w:p w14:paraId="2984B9EA" w14:textId="77777777" w:rsidR="00806566" w:rsidRPr="00D61E32" w:rsidRDefault="00806566">
            <w:pPr>
              <w:rPr>
                <w:rFonts w:ascii="Century Gothic" w:hAnsi="Century Gothic" w:cs="Arial"/>
              </w:rPr>
            </w:pPr>
          </w:p>
          <w:p w14:paraId="63DD192D" w14:textId="77777777" w:rsidR="00806566" w:rsidRDefault="00806566">
            <w:pPr>
              <w:rPr>
                <w:rFonts w:ascii="Century Gothic" w:hAnsi="Century Gothic" w:cs="Arial"/>
              </w:rPr>
            </w:pPr>
          </w:p>
          <w:p w14:paraId="3C4FB49C" w14:textId="77777777" w:rsidR="00D61E32" w:rsidRDefault="00D61E32">
            <w:pPr>
              <w:rPr>
                <w:rFonts w:ascii="Century Gothic" w:hAnsi="Century Gothic" w:cs="Arial"/>
              </w:rPr>
            </w:pPr>
          </w:p>
          <w:p w14:paraId="47DE0D4F" w14:textId="77777777" w:rsidR="00D61E32" w:rsidRDefault="00D61E32">
            <w:pPr>
              <w:rPr>
                <w:rFonts w:ascii="Century Gothic" w:hAnsi="Century Gothic" w:cs="Arial"/>
              </w:rPr>
            </w:pPr>
          </w:p>
          <w:p w14:paraId="2C0851DE" w14:textId="77777777" w:rsidR="00D61E32" w:rsidRPr="00D61E32" w:rsidRDefault="00D61E32">
            <w:pPr>
              <w:rPr>
                <w:rFonts w:ascii="Century Gothic" w:hAnsi="Century Gothic" w:cs="Arial"/>
              </w:rPr>
            </w:pPr>
          </w:p>
          <w:p w14:paraId="341BC504" w14:textId="77777777" w:rsidR="00806566" w:rsidRPr="00D61E32" w:rsidRDefault="00806566">
            <w:pPr>
              <w:rPr>
                <w:rFonts w:ascii="Century Gothic" w:hAnsi="Century Gothic" w:cs="Arial"/>
              </w:rPr>
            </w:pPr>
          </w:p>
          <w:p w14:paraId="2861F2FC" w14:textId="77777777" w:rsidR="00806566" w:rsidRPr="00D61E32" w:rsidRDefault="00806566">
            <w:pPr>
              <w:rPr>
                <w:rFonts w:ascii="Century Gothic" w:hAnsi="Century Gothic" w:cs="Arial"/>
                <w:b/>
              </w:rPr>
            </w:pPr>
            <w:r w:rsidRPr="00D61E32">
              <w:rPr>
                <w:rFonts w:ascii="Century Gothic" w:hAnsi="Century Gothic" w:cs="Arial"/>
                <w:b/>
              </w:rPr>
              <w:t xml:space="preserve">Evidentiary Standards </w:t>
            </w:r>
          </w:p>
          <w:p w14:paraId="50B380CB" w14:textId="77777777" w:rsidR="00806566" w:rsidRPr="00D61E32" w:rsidRDefault="00806566">
            <w:pPr>
              <w:rPr>
                <w:rFonts w:ascii="Century Gothic" w:hAnsi="Century Gothic" w:cs="Arial"/>
                <w:u w:val="single"/>
                <w:lang w:bidi="en-US"/>
              </w:rPr>
            </w:pPr>
            <w:r w:rsidRPr="00D61E32">
              <w:rPr>
                <w:rFonts w:ascii="Century Gothic" w:hAnsi="Century Gothic" w:cs="Arial"/>
                <w:u w:val="single"/>
                <w:lang w:bidi="en-US"/>
              </w:rPr>
              <w:t>Inpatient</w:t>
            </w:r>
          </w:p>
          <w:p w14:paraId="1160BE05" w14:textId="77777777" w:rsidR="00806566" w:rsidRPr="00D61E32" w:rsidRDefault="00806566">
            <w:pPr>
              <w:widowControl w:val="0"/>
              <w:autoSpaceDE w:val="0"/>
              <w:autoSpaceDN w:val="0"/>
              <w:jc w:val="both"/>
              <w:rPr>
                <w:rFonts w:ascii="Century Gothic" w:eastAsia="TimesNewRomanPSMT" w:hAnsi="Century Gothic" w:cs="Arial"/>
                <w:lang w:bidi="en-US"/>
              </w:rPr>
            </w:pPr>
            <w:r w:rsidRPr="00D61E32">
              <w:rPr>
                <w:rFonts w:ascii="Century Gothic" w:hAnsi="Century Gothic" w:cs="Arial"/>
                <w:lang w:bidi="en-US"/>
              </w:rPr>
              <w:t xml:space="preserve">The </w:t>
            </w:r>
            <w:r w:rsidRPr="00D61E32">
              <w:rPr>
                <w:rFonts w:ascii="Century Gothic" w:eastAsia="Myriad Pro Light" w:hAnsi="Century Gothic" w:cs="Arial"/>
                <w:lang w:bidi="en-US"/>
              </w:rPr>
              <w:t xml:space="preserve">evidentiary standard relied on to determine whether to apply prior authorization to inpatient MH/SUD benefits is whether application of prior authorization produces positive financial savings, as measured in the aggregate across the Cigna-administered book-of-business. </w:t>
            </w:r>
            <w:r w:rsidRPr="00D61E32">
              <w:rPr>
                <w:rFonts w:ascii="Century Gothic" w:eastAsia="TimesNewRomanPSMT" w:hAnsi="Century Gothic" w:cs="Arial"/>
                <w:lang w:bidi="en-US"/>
              </w:rPr>
              <w:t xml:space="preserve"> Cigna has determined the value of subjecting all inpatient In-Network and Out-of-Network MH/SUD services to prior authorization/precertification review must exceed the administrative costs by at least 1:1. </w:t>
            </w:r>
            <w:r w:rsidRPr="00D61E32">
              <w:rPr>
                <w:rFonts w:ascii="Century Gothic" w:hAnsi="Century Gothic" w:cs="Arial"/>
              </w:rPr>
              <w:t>The ROI ratio is calculated using the following formula:</w:t>
            </w:r>
          </w:p>
          <w:p w14:paraId="47668A3A" w14:textId="77777777" w:rsidR="00806566" w:rsidRPr="00D61E32" w:rsidRDefault="00806566" w:rsidP="00806566">
            <w:pPr>
              <w:pStyle w:val="BodyText"/>
              <w:widowControl w:val="0"/>
              <w:numPr>
                <w:ilvl w:val="0"/>
                <w:numId w:val="23"/>
              </w:numPr>
              <w:autoSpaceDE w:val="0"/>
              <w:autoSpaceDN w:val="0"/>
              <w:spacing w:before="2" w:after="0"/>
              <w:rPr>
                <w:rFonts w:ascii="Century Gothic" w:hAnsi="Century Gothic" w:cs="Arial"/>
                <w:sz w:val="22"/>
                <w:szCs w:val="22"/>
              </w:rPr>
            </w:pPr>
            <w:r w:rsidRPr="00D61E32">
              <w:rPr>
                <w:rFonts w:ascii="Century Gothic" w:hAnsi="Century Gothic" w:cs="Arial"/>
                <w:sz w:val="22"/>
                <w:szCs w:val="22"/>
              </w:rPr>
              <w:t xml:space="preserve">The actual or anticipated denial rate of the service multiplied by the average unit cost (or, as applicable, cumulative cost) of the service, with the resulting figure divided by the estimated cost to review the total number of services. </w:t>
            </w:r>
          </w:p>
          <w:p w14:paraId="43D1A6B1" w14:textId="77777777" w:rsidR="00806566" w:rsidRPr="00D61E32" w:rsidRDefault="00806566" w:rsidP="00806566">
            <w:pPr>
              <w:pStyle w:val="BodyText"/>
              <w:widowControl w:val="0"/>
              <w:numPr>
                <w:ilvl w:val="0"/>
                <w:numId w:val="23"/>
              </w:numPr>
              <w:autoSpaceDE w:val="0"/>
              <w:autoSpaceDN w:val="0"/>
              <w:spacing w:before="2" w:after="0"/>
              <w:rPr>
                <w:rFonts w:ascii="Century Gothic" w:hAnsi="Century Gothic" w:cs="Arial"/>
                <w:sz w:val="22"/>
                <w:szCs w:val="22"/>
              </w:rPr>
            </w:pPr>
            <w:r w:rsidRPr="00D61E32">
              <w:rPr>
                <w:rFonts w:ascii="Century Gothic" w:hAnsi="Century Gothic" w:cs="Arial"/>
                <w:sz w:val="22"/>
                <w:szCs w:val="22"/>
              </w:rPr>
              <w:t>For services for which Cigna maintains historic claims data, Cigna calculates the denial rate by reference to the actual denial rate as reflected in the historic book-of-business claims data it maintains.  The average unit cost of the service is calculated based on Cigna's historical paid claims for the service across its commercial book of business.  The estimated cost to perform a coverage review is $100 per review, which is informed by costs/expenses such as personnel salaries and time.</w:t>
            </w:r>
          </w:p>
          <w:p w14:paraId="301FFFE4" w14:textId="77777777" w:rsidR="00806566" w:rsidRPr="00D61E32" w:rsidRDefault="00806566">
            <w:pPr>
              <w:rPr>
                <w:rFonts w:ascii="Century Gothic" w:hAnsi="Century Gothic" w:cs="Arial"/>
              </w:rPr>
            </w:pPr>
            <w:r w:rsidRPr="00D61E32">
              <w:rPr>
                <w:rFonts w:ascii="Century Gothic" w:hAnsi="Century Gothic" w:cs="Arial"/>
              </w:rPr>
              <w:t xml:space="preserve">Clinical Appropriateness is defined as those services </w:t>
            </w:r>
            <w:proofErr w:type="gramStart"/>
            <w:r w:rsidRPr="00D61E32">
              <w:rPr>
                <w:rFonts w:ascii="Century Gothic" w:hAnsi="Century Gothic" w:cs="Arial"/>
              </w:rPr>
              <w:t>that</w:t>
            </w:r>
            <w:proofErr w:type="gramEnd"/>
            <w:r w:rsidRPr="00D61E32">
              <w:rPr>
                <w:rFonts w:ascii="Century Gothic" w:hAnsi="Century Gothic" w:cs="Arial"/>
              </w:rPr>
              <w:t xml:space="preserve"> as determined in the exercise of the professional judgement of Cigna’s internal medical experts, are in accordance with generally accepted standards of care and nationally recognized guidelines. Nationally recognized guidelines are included in Cigna’s “Levels of Scientific Evidence Table” adapted from the Centre for Evidence Based Medicine, University of Oxford, March 2009 as outlined in the development of clinical criteria of Medical Necessity.</w:t>
            </w:r>
          </w:p>
          <w:p w14:paraId="1E8E644C" w14:textId="77777777" w:rsidR="00806566" w:rsidRPr="00D61E32" w:rsidRDefault="00806566">
            <w:pPr>
              <w:rPr>
                <w:rFonts w:ascii="Century Gothic" w:hAnsi="Century Gothic" w:cs="Arial"/>
                <w:lang w:bidi="en-US"/>
              </w:rPr>
            </w:pPr>
            <w:r w:rsidRPr="00D61E32">
              <w:rPr>
                <w:rFonts w:ascii="Century Gothic" w:hAnsi="Century Gothic" w:cs="Arial"/>
              </w:rPr>
              <w:t>The ROI ratio is calculated using the following formula:</w:t>
            </w:r>
          </w:p>
          <w:p w14:paraId="57AA737A" w14:textId="77777777" w:rsidR="00806566" w:rsidRPr="00D61E32" w:rsidRDefault="00806566" w:rsidP="00806566">
            <w:pPr>
              <w:numPr>
                <w:ilvl w:val="0"/>
                <w:numId w:val="23"/>
              </w:numPr>
              <w:spacing w:after="0" w:line="240" w:lineRule="auto"/>
              <w:rPr>
                <w:rFonts w:ascii="Century Gothic" w:hAnsi="Century Gothic" w:cs="Arial"/>
                <w:lang w:val="en-GB"/>
              </w:rPr>
            </w:pPr>
            <w:r w:rsidRPr="00D61E32">
              <w:rPr>
                <w:rFonts w:ascii="Century Gothic" w:hAnsi="Century Gothic" w:cs="Arial"/>
                <w:lang w:val="en-GB"/>
              </w:rPr>
              <w:t xml:space="preserve">The actual or anticipated denial rate of the service multiplied by the average unit cost (or, as applicable, cumulative cost) of the service, with the resulting figure divided by the estimated cost to review the total number of services. </w:t>
            </w:r>
          </w:p>
          <w:p w14:paraId="0DEA32E8" w14:textId="70566485" w:rsidR="00806566" w:rsidRPr="00D61E32" w:rsidRDefault="00806566">
            <w:pPr>
              <w:rPr>
                <w:rFonts w:ascii="Century Gothic" w:hAnsi="Century Gothic" w:cs="Arial"/>
                <w:lang w:val="en-GB"/>
              </w:rPr>
            </w:pPr>
            <w:r w:rsidRPr="00D61E32">
              <w:rPr>
                <w:rFonts w:ascii="Century Gothic" w:hAnsi="Century Gothic" w:cs="Arial"/>
                <w:lang w:val="en-GB"/>
              </w:rPr>
              <w:t>For services for which Cigna maintains historic claims data, Cigna calculates the denial rate by reference to the actual denial rate as reflected in the historic book-of-business claims data it maintains.  The average unit cost of the service is calculated based on Cigna's historical paid claims for the service across its commercial book of business.  The estimated cost to perform a coverage review is $100 per review, which is informed by costs/expenses such as personnel salaries and time.</w:t>
            </w:r>
          </w:p>
          <w:p w14:paraId="6CAF99BD" w14:textId="77777777" w:rsidR="00806566" w:rsidRPr="00D61E32" w:rsidRDefault="00806566">
            <w:pPr>
              <w:rPr>
                <w:rFonts w:ascii="Century Gothic" w:hAnsi="Century Gothic" w:cs="Arial"/>
                <w:b/>
                <w:bCs/>
              </w:rPr>
            </w:pPr>
            <w:r w:rsidRPr="00D61E32">
              <w:rPr>
                <w:rFonts w:ascii="Century Gothic" w:hAnsi="Century Gothic" w:cs="Arial"/>
                <w:b/>
                <w:bCs/>
              </w:rPr>
              <w:t xml:space="preserve">B. Factors for determining whether to remove PA: </w:t>
            </w:r>
          </w:p>
          <w:p w14:paraId="27A9CEFD" w14:textId="77777777" w:rsidR="00806566" w:rsidRPr="00D61E32" w:rsidRDefault="00806566">
            <w:pPr>
              <w:rPr>
                <w:rFonts w:ascii="Century Gothic" w:hAnsi="Century Gothic" w:cs="Arial"/>
              </w:rPr>
            </w:pPr>
            <w:r w:rsidRPr="00D61E32">
              <w:rPr>
                <w:rFonts w:ascii="Century Gothic" w:hAnsi="Century Gothic" w:cs="Arial"/>
              </w:rPr>
              <w:t xml:space="preserve">Same as M/S </w:t>
            </w:r>
          </w:p>
        </w:tc>
      </w:tr>
      <w:tr w:rsidR="00806566" w:rsidRPr="00D61E32" w14:paraId="531C4C87" w14:textId="77777777" w:rsidTr="00CE4315">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E4E91" w14:textId="77777777" w:rsidR="00806566" w:rsidRPr="00D61E32" w:rsidRDefault="00806566">
            <w:pPr>
              <w:rPr>
                <w:rFonts w:ascii="Century Gothic" w:hAnsi="Century Gothic" w:cs="Arial"/>
                <w:bCs/>
              </w:rPr>
            </w:pPr>
            <w:r w:rsidRPr="00D61E32">
              <w:rPr>
                <w:rFonts w:ascii="Century Gothic" w:hAnsi="Century Gothic"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7818D17C" w14:textId="77777777" w:rsidR="00806566" w:rsidRPr="00D61E32" w:rsidRDefault="00806566" w:rsidP="00806566">
            <w:pPr>
              <w:pStyle w:val="ListParagraph"/>
              <w:numPr>
                <w:ilvl w:val="0"/>
                <w:numId w:val="20"/>
              </w:numPr>
              <w:spacing w:after="0" w:line="240" w:lineRule="auto"/>
              <w:rPr>
                <w:rFonts w:ascii="Century Gothic" w:hAnsi="Century Gothic" w:cs="Arial"/>
                <w:bCs/>
                <w:i/>
              </w:rPr>
            </w:pPr>
            <w:r w:rsidRPr="00D61E32">
              <w:rPr>
                <w:rFonts w:ascii="Century Gothic" w:hAnsi="Century Gothic" w:cs="Arial"/>
                <w:bCs/>
                <w:i/>
              </w:rPr>
              <w:t>The analyses, as documented, should explain whether there is any variation in the application of a guideline or standard used by the plan or issuer between MH/SUD and medical/surgical benefits and, if so, describe the process and factors used for establishing that variation.</w:t>
            </w:r>
          </w:p>
          <w:p w14:paraId="6B2986D1" w14:textId="77777777" w:rsidR="00806566" w:rsidRPr="00D61E32" w:rsidRDefault="00806566" w:rsidP="00806566">
            <w:pPr>
              <w:pStyle w:val="ListParagraph"/>
              <w:numPr>
                <w:ilvl w:val="0"/>
                <w:numId w:val="20"/>
              </w:numPr>
              <w:spacing w:after="0" w:line="240" w:lineRule="auto"/>
              <w:rPr>
                <w:rFonts w:ascii="Century Gothic" w:hAnsi="Century Gothic" w:cs="Arial"/>
                <w:bCs/>
                <w:i/>
              </w:rPr>
            </w:pPr>
            <w:r w:rsidRPr="00D61E32">
              <w:rPr>
                <w:rFonts w:ascii="Century Gothic" w:hAnsi="Century Gothic" w:cs="Arial"/>
                <w:bCs/>
                <w:i/>
              </w:rPr>
              <w:t>If the application of the NQTL turns on specific decisions in administration of the benefits, the plan or issuer should identify the nature of the decisions, the decision maker(s), the timing of the decisions, and the qualifications of the decision maker(s).</w:t>
            </w:r>
          </w:p>
          <w:p w14:paraId="3325FB09" w14:textId="77777777" w:rsidR="00806566" w:rsidRPr="00D61E32" w:rsidRDefault="00806566" w:rsidP="00806566">
            <w:pPr>
              <w:pStyle w:val="ListParagraph"/>
              <w:numPr>
                <w:ilvl w:val="0"/>
                <w:numId w:val="20"/>
              </w:numPr>
              <w:spacing w:after="0" w:line="240" w:lineRule="auto"/>
              <w:rPr>
                <w:rFonts w:ascii="Century Gothic" w:hAnsi="Century Gothic" w:cs="Arial"/>
                <w:bCs/>
                <w:i/>
              </w:rPr>
            </w:pPr>
            <w:r w:rsidRPr="00D61E32">
              <w:rPr>
                <w:rFonts w:ascii="Century Gothic" w:hAnsi="Century Gothic" w:cs="Arial"/>
                <w:bCs/>
                <w:i/>
              </w:rPr>
              <w:t xml:space="preserve">If the </w:t>
            </w:r>
            <w:proofErr w:type="gramStart"/>
            <w:r w:rsidRPr="00D61E32">
              <w:rPr>
                <w:rFonts w:ascii="Century Gothic" w:hAnsi="Century Gothic" w:cs="Arial"/>
                <w:bCs/>
                <w:i/>
              </w:rPr>
              <w:t>plan’s</w:t>
            </w:r>
            <w:proofErr w:type="gramEnd"/>
            <w:r w:rsidRPr="00D61E32">
              <w:rPr>
                <w:rFonts w:ascii="Century Gothic" w:hAnsi="Century Gothic" w:cs="Arial"/>
                <w:bCs/>
                <w:i/>
              </w:rPr>
              <w:t xml:space="preserve">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r w:rsidRPr="00D61E32">
              <w:rPr>
                <w:rStyle w:val="FootnoteReference"/>
                <w:rFonts w:ascii="Century Gothic" w:hAnsi="Century Gothic" w:cs="Arial"/>
                <w:bCs/>
                <w:i/>
              </w:rPr>
              <w:footnoteReference w:id="21"/>
            </w:r>
          </w:p>
        </w:tc>
      </w:tr>
      <w:tr w:rsidR="00806566" w:rsidRPr="00D61E32" w14:paraId="049AC2A6" w14:textId="77777777" w:rsidTr="00CE4315">
        <w:trPr>
          <w:trHeight w:val="2240"/>
        </w:trPr>
        <w:tc>
          <w:tcPr>
            <w:tcW w:w="2500" w:type="pct"/>
            <w:tcBorders>
              <w:top w:val="single" w:sz="4" w:space="0" w:color="auto"/>
              <w:left w:val="single" w:sz="4" w:space="0" w:color="auto"/>
              <w:bottom w:val="single" w:sz="4" w:space="0" w:color="auto"/>
              <w:right w:val="single" w:sz="4" w:space="0" w:color="auto"/>
            </w:tcBorders>
          </w:tcPr>
          <w:p w14:paraId="3B392059" w14:textId="3E7C3AED" w:rsidR="00806566" w:rsidRPr="00D61E32" w:rsidRDefault="00806566">
            <w:pPr>
              <w:rPr>
                <w:rFonts w:ascii="Century Gothic" w:hAnsi="Century Gothic" w:cs="Arial"/>
              </w:rPr>
            </w:pPr>
            <w:r w:rsidRPr="00D61E32">
              <w:rPr>
                <w:rFonts w:ascii="Century Gothic" w:hAnsi="Century Gothic" w:cs="Arial"/>
                <w:b/>
                <w:i/>
              </w:rPr>
              <w:t xml:space="preserve">Step 4(a): Briefly describe the processes by which Prior Authorization is applied to </w:t>
            </w:r>
            <w:r w:rsidR="00E70A33">
              <w:rPr>
                <w:rFonts w:ascii="Century Gothic" w:hAnsi="Century Gothic" w:cs="Arial"/>
                <w:b/>
                <w:i/>
              </w:rPr>
              <w:t>M</w:t>
            </w:r>
            <w:r w:rsidRPr="00D61E32">
              <w:rPr>
                <w:rFonts w:ascii="Century Gothic" w:hAnsi="Century Gothic" w:cs="Arial"/>
                <w:b/>
                <w:i/>
              </w:rPr>
              <w:t>/S benefits</w:t>
            </w:r>
            <w:r w:rsidRPr="00D61E32">
              <w:rPr>
                <w:rFonts w:ascii="Century Gothic" w:hAnsi="Century Gothic" w:cs="Arial"/>
              </w:rPr>
              <w:t>:</w:t>
            </w:r>
          </w:p>
          <w:p w14:paraId="628A4128" w14:textId="3EED72EF" w:rsidR="00806566" w:rsidRPr="00E70A33" w:rsidRDefault="00806566">
            <w:pPr>
              <w:rPr>
                <w:rFonts w:ascii="Century Gothic" w:hAnsi="Century Gothic" w:cs="Arial"/>
              </w:rPr>
            </w:pPr>
            <w:r w:rsidRPr="00D61E32">
              <w:rPr>
                <w:rFonts w:ascii="Century Gothic" w:hAnsi="Century Gothic" w:cs="Arial"/>
                <w:i/>
              </w:rPr>
              <w:t>A. Timelines and deadlines, including the frequency with which re-authorizations are required</w:t>
            </w:r>
            <w:r w:rsidRPr="00D61E32">
              <w:rPr>
                <w:rFonts w:ascii="Century Gothic" w:hAnsi="Century Gothic" w:cs="Arial"/>
              </w:rPr>
              <w:t>:</w:t>
            </w:r>
          </w:p>
          <w:p w14:paraId="6CF27DC3" w14:textId="77777777" w:rsidR="00806566" w:rsidRPr="00D61E32" w:rsidRDefault="00806566">
            <w:pPr>
              <w:rPr>
                <w:rFonts w:ascii="Century Gothic" w:hAnsi="Century Gothic" w:cs="Arial"/>
                <w:b/>
                <w:bCs/>
              </w:rPr>
            </w:pPr>
            <w:r w:rsidRPr="00D61E32">
              <w:rPr>
                <w:rFonts w:ascii="Century Gothic" w:hAnsi="Century Gothic" w:cs="Arial"/>
                <w:b/>
                <w:bCs/>
              </w:rPr>
              <w:t>Cigna</w:t>
            </w:r>
          </w:p>
          <w:p w14:paraId="2DCF80B3" w14:textId="77777777" w:rsidR="00806566" w:rsidRPr="00D61E32" w:rsidRDefault="00806566">
            <w:pPr>
              <w:rPr>
                <w:rFonts w:ascii="Century Gothic" w:hAnsi="Century Gothic" w:cs="Arial"/>
                <w:u w:val="single"/>
              </w:rPr>
            </w:pPr>
            <w:r w:rsidRPr="00D61E32">
              <w:rPr>
                <w:rFonts w:ascii="Century Gothic" w:hAnsi="Century Gothic" w:cs="Arial"/>
                <w:u w:val="single"/>
              </w:rPr>
              <w:t>Inpatient</w:t>
            </w:r>
          </w:p>
          <w:p w14:paraId="25CA675E" w14:textId="17007367" w:rsidR="00806566" w:rsidRPr="00E70A33" w:rsidRDefault="00806566">
            <w:pPr>
              <w:rPr>
                <w:rFonts w:ascii="Century Gothic" w:hAnsi="Century Gothic" w:cs="Arial"/>
                <w:lang w:val="x-none"/>
              </w:rPr>
            </w:pPr>
            <w:r w:rsidRPr="00D61E32">
              <w:rPr>
                <w:rFonts w:ascii="Century Gothic" w:hAnsi="Century Gothic" w:cs="Arial"/>
                <w:lang w:val="x-none"/>
              </w:rPr>
              <w:t>Cigna typically authorizes 1-4 medical/surgical or MH/SUD inpatient days upon pre-service review.</w:t>
            </w:r>
          </w:p>
          <w:p w14:paraId="60EC47E1" w14:textId="77777777" w:rsidR="00806566" w:rsidRPr="00D61E32" w:rsidRDefault="00806566">
            <w:pPr>
              <w:rPr>
                <w:rFonts w:ascii="Century Gothic" w:hAnsi="Century Gothic" w:cs="Arial"/>
              </w:rPr>
            </w:pPr>
            <w:r w:rsidRPr="00D61E32">
              <w:rPr>
                <w:rFonts w:ascii="Century Gothic" w:hAnsi="Century Gothic" w:cs="Arial"/>
                <w:i/>
              </w:rPr>
              <w:t>B. Forms and/or other information required to be submitted by the provider</w:t>
            </w:r>
            <w:r w:rsidRPr="00D61E32">
              <w:rPr>
                <w:rFonts w:ascii="Century Gothic" w:hAnsi="Century Gothic" w:cs="Arial"/>
              </w:rPr>
              <w:t>:</w:t>
            </w:r>
          </w:p>
          <w:p w14:paraId="638E6E8F" w14:textId="77777777" w:rsidR="00806566" w:rsidRPr="00D61E32" w:rsidRDefault="00806566">
            <w:pPr>
              <w:rPr>
                <w:rFonts w:ascii="Century Gothic" w:hAnsi="Century Gothic" w:cs="Arial"/>
                <w:b/>
                <w:bCs/>
              </w:rPr>
            </w:pPr>
            <w:r w:rsidRPr="00D61E32">
              <w:rPr>
                <w:rFonts w:ascii="Century Gothic" w:hAnsi="Century Gothic" w:cs="Arial"/>
                <w:b/>
                <w:bCs/>
              </w:rPr>
              <w:t>Cigna</w:t>
            </w:r>
          </w:p>
          <w:p w14:paraId="6A344C66" w14:textId="77777777" w:rsidR="00806566" w:rsidRPr="00D61E32" w:rsidRDefault="00806566">
            <w:pPr>
              <w:rPr>
                <w:rFonts w:ascii="Century Gothic" w:hAnsi="Century Gothic" w:cs="Arial"/>
                <w:u w:val="single"/>
              </w:rPr>
            </w:pPr>
            <w:r w:rsidRPr="00D61E32">
              <w:rPr>
                <w:rFonts w:ascii="Century Gothic" w:hAnsi="Century Gothic" w:cs="Arial"/>
                <w:u w:val="single"/>
              </w:rPr>
              <w:t>Inpatient</w:t>
            </w:r>
          </w:p>
          <w:p w14:paraId="22175816" w14:textId="0757E866" w:rsidR="00806566" w:rsidRPr="00E70A33" w:rsidRDefault="00806566">
            <w:pPr>
              <w:rPr>
                <w:rFonts w:ascii="Century Gothic" w:hAnsi="Century Gothic" w:cs="Arial"/>
              </w:rPr>
            </w:pPr>
            <w:r w:rsidRPr="00D61E32">
              <w:rPr>
                <w:rFonts w:ascii="Century Gothic" w:hAnsi="Century Gothic" w:cs="Arial"/>
              </w:rPr>
              <w:t xml:space="preserve">For </w:t>
            </w:r>
            <w:proofErr w:type="spellStart"/>
            <w:proofErr w:type="gramStart"/>
            <w:r w:rsidRPr="00D61E32">
              <w:rPr>
                <w:rFonts w:ascii="Century Gothic" w:hAnsi="Century Gothic" w:cs="Arial"/>
              </w:rPr>
              <w:t>a</w:t>
            </w:r>
            <w:proofErr w:type="spellEnd"/>
            <w:proofErr w:type="gramEnd"/>
            <w:r w:rsidRPr="00D61E32">
              <w:rPr>
                <w:rFonts w:ascii="Century Gothic" w:hAnsi="Century Gothic" w:cs="Arial"/>
              </w:rPr>
              <w:t xml:space="preserve"> inpatient to prior authorization, the enrollee’s treating provider submits a request for benefit authorization of an inpatient level of care electronically or by phone, fax or mail. If the request cannot be authorized using an approved algorithm, the case is referred to a nurse reviewer/care manager who collects and reviews the supporting clinical information for medical necessity. If the nurse reviewer/care manager determines the enrollee meets criteria for the inpatient level of care requested, he/she authorizes the services at issue. </w:t>
            </w:r>
          </w:p>
          <w:p w14:paraId="749B1390" w14:textId="77777777" w:rsidR="00806566" w:rsidRPr="00D61E32" w:rsidRDefault="00806566">
            <w:pPr>
              <w:rPr>
                <w:rFonts w:ascii="Century Gothic" w:hAnsi="Century Gothic" w:cs="Arial"/>
              </w:rPr>
            </w:pPr>
            <w:r w:rsidRPr="00D61E32">
              <w:rPr>
                <w:rFonts w:ascii="Century Gothic" w:hAnsi="Century Gothic" w:cs="Arial"/>
                <w:i/>
              </w:rPr>
              <w:t xml:space="preserve">C. Utilization management manuals and any other documentation of UM processes that are relied upon to </w:t>
            </w:r>
            <w:proofErr w:type="gramStart"/>
            <w:r w:rsidRPr="00D61E32">
              <w:rPr>
                <w:rFonts w:ascii="Century Gothic" w:hAnsi="Century Gothic" w:cs="Arial"/>
                <w:i/>
              </w:rPr>
              <w:t>make a determination</w:t>
            </w:r>
            <w:proofErr w:type="gramEnd"/>
            <w:r w:rsidRPr="00D61E32">
              <w:rPr>
                <w:rFonts w:ascii="Century Gothic" w:hAnsi="Century Gothic" w:cs="Arial"/>
              </w:rPr>
              <w:t>:</w:t>
            </w:r>
          </w:p>
          <w:p w14:paraId="7C4A77C4" w14:textId="77777777" w:rsidR="00806566" w:rsidRPr="00D61E32" w:rsidRDefault="00806566">
            <w:pPr>
              <w:rPr>
                <w:rFonts w:ascii="Century Gothic" w:hAnsi="Century Gothic" w:cs="Arial"/>
                <w:b/>
                <w:bCs/>
              </w:rPr>
            </w:pPr>
            <w:r w:rsidRPr="00D61E32">
              <w:rPr>
                <w:rFonts w:ascii="Century Gothic" w:hAnsi="Century Gothic" w:cs="Arial"/>
                <w:b/>
                <w:bCs/>
              </w:rPr>
              <w:t>Cigna</w:t>
            </w:r>
          </w:p>
          <w:p w14:paraId="1B3E2CEE" w14:textId="302C6FF5" w:rsidR="00806566" w:rsidRPr="00D61E32" w:rsidRDefault="00806566">
            <w:pPr>
              <w:rPr>
                <w:rFonts w:ascii="Century Gothic" w:hAnsi="Century Gothic" w:cs="Arial"/>
              </w:rPr>
            </w:pPr>
            <w:r w:rsidRPr="00D61E32">
              <w:rPr>
                <w:rFonts w:ascii="Century Gothic" w:hAnsi="Century Gothic" w:cs="Arial"/>
              </w:rPr>
              <w:t xml:space="preserve">Services covered under a Cigna-administered benefit plan, including M/S benefits, may require Prior Authorization to achieve a variety of objectives, including the verification of the appropriate utilization of services by type/level of care and place/setting of service under benefit plans administered by Cigna, as well as verification that a service will be rendered for a covered benefit.  </w:t>
            </w:r>
          </w:p>
          <w:p w14:paraId="7EB15474" w14:textId="1D87397C" w:rsidR="00806566" w:rsidRPr="00E70A33" w:rsidRDefault="00806566">
            <w:pPr>
              <w:rPr>
                <w:rFonts w:ascii="Century Gothic" w:hAnsi="Century Gothic" w:cs="Arial"/>
              </w:rPr>
            </w:pPr>
            <w:r w:rsidRPr="00D61E32">
              <w:rPr>
                <w:rFonts w:ascii="Century Gothic" w:hAnsi="Century Gothic" w:cs="Arial"/>
              </w:rPr>
              <w:t xml:space="preserve">When determining which M/S In Network benefits are subject to pre-service medical necessity review (prior authorization/ precertification), Cigna conducts at least annually, a Precertification Code Review Procedure by the Total Health and Network Operations and Medical Economics Coverage Policy, Precertification Team (“Precertification Team”).  Precertification Team workgroup leaders include Coding Team Supervisors, the Total </w:t>
            </w:r>
            <w:proofErr w:type="gramStart"/>
            <w:r w:rsidRPr="00D61E32">
              <w:rPr>
                <w:rFonts w:ascii="Century Gothic" w:hAnsi="Century Gothic" w:cs="Arial"/>
              </w:rPr>
              <w:t>Health</w:t>
            </w:r>
            <w:proofErr w:type="gramEnd"/>
            <w:r w:rsidRPr="00D61E32">
              <w:rPr>
                <w:rFonts w:ascii="Century Gothic" w:hAnsi="Century Gothic" w:cs="Arial"/>
              </w:rPr>
              <w:t xml:space="preserve"> and Network Operations (“THN”) Medical Director and ad hoc members including Cigna Medical Directors and subject matter expertise with the ability to exercise professional judgement.  The Precertification Team makes a final recommendation to the THN medical and clinical leadership, a final determination is </w:t>
            </w:r>
            <w:proofErr w:type="gramStart"/>
            <w:r w:rsidRPr="00D61E32">
              <w:rPr>
                <w:rFonts w:ascii="Century Gothic" w:hAnsi="Century Gothic" w:cs="Arial"/>
              </w:rPr>
              <w:t>made</w:t>
            </w:r>
            <w:proofErr w:type="gramEnd"/>
            <w:r w:rsidRPr="00D61E32">
              <w:rPr>
                <w:rFonts w:ascii="Century Gothic" w:hAnsi="Century Gothic" w:cs="Arial"/>
              </w:rPr>
              <w:t xml:space="preserve"> and the Precertification List is updated, operationalized and provider notifications are communicated.  </w:t>
            </w:r>
          </w:p>
          <w:p w14:paraId="08954838" w14:textId="67B50803" w:rsidR="00806566" w:rsidRPr="00E70A33" w:rsidRDefault="00806566">
            <w:pPr>
              <w:rPr>
                <w:rFonts w:ascii="Century Gothic" w:hAnsi="Century Gothic" w:cs="Arial"/>
              </w:rPr>
            </w:pPr>
            <w:r w:rsidRPr="00D61E32">
              <w:rPr>
                <w:rFonts w:ascii="Century Gothic" w:hAnsi="Century Gothic" w:cs="Arial"/>
                <w:i/>
              </w:rPr>
              <w:t xml:space="preserve">D. In-operation processes in place to </w:t>
            </w:r>
            <w:proofErr w:type="gramStart"/>
            <w:r w:rsidRPr="00D61E32">
              <w:rPr>
                <w:rFonts w:ascii="Century Gothic" w:hAnsi="Century Gothic" w:cs="Arial"/>
                <w:i/>
              </w:rPr>
              <w:t>make a determination</w:t>
            </w:r>
            <w:proofErr w:type="gramEnd"/>
            <w:r w:rsidRPr="00D61E32">
              <w:rPr>
                <w:rFonts w:ascii="Century Gothic" w:hAnsi="Century Gothic" w:cs="Arial"/>
                <w:i/>
              </w:rPr>
              <w:t xml:space="preserve"> such as distinctions between first and second-level reviews or between administrative and clinical reviews, peer-to-peer reviews, and the use of medical discretion applied in lieu of or in the absence of written criteria and guidelines</w:t>
            </w:r>
            <w:r w:rsidRPr="00D61E32">
              <w:rPr>
                <w:rFonts w:ascii="Century Gothic" w:hAnsi="Century Gothic" w:cs="Arial"/>
              </w:rPr>
              <w:t>:</w:t>
            </w:r>
          </w:p>
          <w:p w14:paraId="62003D92" w14:textId="77777777" w:rsidR="00806566" w:rsidRPr="00D61E32" w:rsidRDefault="00806566">
            <w:pPr>
              <w:rPr>
                <w:rFonts w:ascii="Century Gothic" w:hAnsi="Century Gothic" w:cs="Arial"/>
                <w:b/>
                <w:bCs/>
              </w:rPr>
            </w:pPr>
            <w:r w:rsidRPr="00D61E32">
              <w:rPr>
                <w:rFonts w:ascii="Century Gothic" w:hAnsi="Century Gothic" w:cs="Arial"/>
                <w:b/>
                <w:bCs/>
              </w:rPr>
              <w:t xml:space="preserve">Cigna </w:t>
            </w:r>
          </w:p>
          <w:p w14:paraId="3E46F0D7" w14:textId="77777777" w:rsidR="00806566" w:rsidRPr="00D61E32" w:rsidRDefault="00806566">
            <w:pPr>
              <w:rPr>
                <w:rFonts w:ascii="Century Gothic" w:hAnsi="Century Gothic" w:cs="Arial"/>
                <w:b/>
                <w:bCs/>
              </w:rPr>
            </w:pPr>
            <w:r w:rsidRPr="00D61E32">
              <w:rPr>
                <w:rFonts w:ascii="Century Gothic" w:hAnsi="Century Gothic" w:cs="Arial"/>
              </w:rPr>
              <w:t xml:space="preserve">If the nurse reviewer/care manager assesses the enrollee does not appear to meet medical necessity criteria for the request, he/she refers the case to a peer reviewer (e.g. Medical Director) who reviews the clinical information and determines whether the enrollee meets medical necessity criteria for the request (i.e., peer reviewer may authorize or deny benefit authorization depending upon the information provided by the treating provider). Cigna typically authorizes 1-4 M/S or MH/SUD inpatient days upon pre-service review. </w:t>
            </w:r>
          </w:p>
          <w:p w14:paraId="012F249F" w14:textId="77777777" w:rsidR="00806566" w:rsidRPr="00D61E32" w:rsidRDefault="00806566">
            <w:pPr>
              <w:rPr>
                <w:rFonts w:ascii="Century Gothic" w:hAnsi="Century Gothic" w:cs="Arial"/>
              </w:rPr>
            </w:pPr>
          </w:p>
          <w:p w14:paraId="089CAA14" w14:textId="77777777" w:rsidR="00806566" w:rsidRPr="00D61E32" w:rsidRDefault="00806566">
            <w:pPr>
              <w:rPr>
                <w:rFonts w:ascii="Century Gothic" w:hAnsi="Century Gothic" w:cs="Arial"/>
                <w:i/>
                <w:iCs/>
              </w:rPr>
            </w:pPr>
            <w:r w:rsidRPr="00D61E32">
              <w:rPr>
                <w:rFonts w:ascii="Century Gothic" w:hAnsi="Century Gothic" w:cs="Arial"/>
                <w:i/>
                <w:iCs/>
              </w:rPr>
              <w:t>Peer to Peer Review Variation</w:t>
            </w:r>
          </w:p>
          <w:p w14:paraId="055F6AA0" w14:textId="40CDFAC2" w:rsidR="00806566" w:rsidRPr="00D61E32" w:rsidRDefault="00806566">
            <w:pPr>
              <w:rPr>
                <w:rFonts w:ascii="Century Gothic" w:hAnsi="Century Gothic" w:cs="Arial"/>
              </w:rPr>
            </w:pPr>
            <w:r w:rsidRPr="00D61E32">
              <w:rPr>
                <w:rFonts w:ascii="Century Gothic" w:hAnsi="Century Gothic" w:cs="Arial"/>
              </w:rPr>
              <w:t xml:space="preserve">With respect to MH/SUD benefits, and in contrast to the process for performing M/S benefit reviews, Cigna ensures that any potential denial of MH/SUD benefits is preceded by a proactive offer to the provider of a peer-to-peer review for certain services in the Inpatient benefit classifications. The objectives of proactively seeking a peer-to-peer review is to minimize the risk of issuing a denial where, in fact, the enrollee’s clinical situation warrants an approval for medically necessary care yet the provider’s request may have incompletely or imprecisely stated the case for medical necessity, or, if a denial is nonetheless issued, mitigating disruption if the loss of coverage results in the enrollee moving to a different treatment type or level of care. This process is beneficial for the enrollee and results in greater approvals and fewer appeals of medical necessity denials. </w:t>
            </w:r>
          </w:p>
          <w:p w14:paraId="2867F796" w14:textId="3919A8F6" w:rsidR="00806566" w:rsidRPr="00D61E32" w:rsidRDefault="00806566">
            <w:pPr>
              <w:rPr>
                <w:rFonts w:ascii="Century Gothic" w:hAnsi="Century Gothic" w:cs="Arial"/>
              </w:rPr>
            </w:pPr>
            <w:r w:rsidRPr="00D61E32">
              <w:rPr>
                <w:rFonts w:ascii="Century Gothic" w:hAnsi="Century Gothic" w:cs="Arial"/>
              </w:rPr>
              <w:t xml:space="preserve">Cigna’s medical necessity review of MH/SUD services is guided by the ASAM Criteria, MCG and Cigna’s Clinical Coverage policies and plan documents approved for use in care management determinations. Cigna’s Peer-to-Peer review program is triggered when a care manager receives clinical information that does not appear to meet the ASAM Criteria, MCG and Cigna’s Clinical Coverage policies and plan documents for initial or prior authorization for level of care requested. In this instance, care managers may offer a lower level of care to ensure there is no delay or impediment to care where the medical necessity criteria </w:t>
            </w:r>
            <w:proofErr w:type="gramStart"/>
            <w:r w:rsidRPr="00D61E32">
              <w:rPr>
                <w:rFonts w:ascii="Century Gothic" w:hAnsi="Century Gothic" w:cs="Arial"/>
              </w:rPr>
              <w:t>is</w:t>
            </w:r>
            <w:proofErr w:type="gramEnd"/>
            <w:r w:rsidRPr="00D61E32">
              <w:rPr>
                <w:rFonts w:ascii="Century Gothic" w:hAnsi="Century Gothic" w:cs="Arial"/>
              </w:rPr>
              <w:t xml:space="preserve"> met. If that level of care is not accepted by the requesting provider (treating practitioner), the case is referred to Peer-to-peer review with a behavioral health physician reviewer. </w:t>
            </w:r>
          </w:p>
          <w:p w14:paraId="7460FB3A" w14:textId="2873BFF5" w:rsidR="00806566" w:rsidRPr="00D61E32" w:rsidRDefault="00806566">
            <w:pPr>
              <w:rPr>
                <w:rFonts w:ascii="Century Gothic" w:hAnsi="Century Gothic" w:cs="Arial"/>
              </w:rPr>
            </w:pPr>
            <w:r w:rsidRPr="00D61E32">
              <w:rPr>
                <w:rFonts w:ascii="Century Gothic" w:hAnsi="Century Gothic" w:cs="Arial"/>
              </w:rPr>
              <w:t xml:space="preserve">The Peer-to-Peer review is available for any coverage request for which Cigna anticipates issuing a denial Cigna incorporates into its MH/SUD utilization review process a requirement that – prior to issuing a denial – a Cigna clinician proactively solicit a peer-to-peer review with the rendering provider.  After completing the peer-to-peer review with the rendering provider, the Cigna Medical Director </w:t>
            </w:r>
            <w:proofErr w:type="gramStart"/>
            <w:r w:rsidRPr="00D61E32">
              <w:rPr>
                <w:rFonts w:ascii="Century Gothic" w:hAnsi="Century Gothic" w:cs="Arial"/>
              </w:rPr>
              <w:t>makes a decision</w:t>
            </w:r>
            <w:proofErr w:type="gramEnd"/>
            <w:r w:rsidRPr="00D61E32">
              <w:rPr>
                <w:rFonts w:ascii="Century Gothic" w:hAnsi="Century Gothic" w:cs="Arial"/>
              </w:rPr>
              <w:t xml:space="preserve"> to approve or deny the requested service, based on all of the clinical information provided. Peer-to-peer reviews that are declined by the requesting provider result in the Cigna Medical Director </w:t>
            </w:r>
            <w:proofErr w:type="gramStart"/>
            <w:r w:rsidRPr="00D61E32">
              <w:rPr>
                <w:rFonts w:ascii="Century Gothic" w:hAnsi="Century Gothic" w:cs="Arial"/>
              </w:rPr>
              <w:t>making a decision</w:t>
            </w:r>
            <w:proofErr w:type="gramEnd"/>
            <w:r w:rsidRPr="00D61E32">
              <w:rPr>
                <w:rFonts w:ascii="Century Gothic" w:hAnsi="Century Gothic" w:cs="Arial"/>
              </w:rPr>
              <w:t xml:space="preserve"> to approve or deny the requested service based on the clinical information that was submitted and obtained by the Cigna clinician. All reconsideration and appeal options are available if a case results in a denial, just as they are available for denials issues for an M/S request. </w:t>
            </w:r>
          </w:p>
          <w:p w14:paraId="681D35E6" w14:textId="7B97E4A1" w:rsidR="00806566" w:rsidRPr="00D61E32" w:rsidRDefault="00806566">
            <w:pPr>
              <w:rPr>
                <w:rFonts w:ascii="Century Gothic" w:hAnsi="Century Gothic" w:cs="Arial"/>
              </w:rPr>
            </w:pPr>
            <w:r w:rsidRPr="00D61E32">
              <w:rPr>
                <w:rFonts w:ascii="Century Gothic" w:hAnsi="Century Gothic" w:cs="Arial"/>
              </w:rPr>
              <w:t>If Cigna’s pro-active, volunteer Peer-to-Peer review were not applicable to MH/SUD services, and such services followed a similar process to the M/S benefit, services that were approved due to such Peer-to-Peer review, would have been much more likely to have resulted in a denial without additional information or discussion to meet clinical criteria.  The provider has the right to decline the peer review and move forward retaining the same rights post-decision/denial. Cigna’s pro-active Peer-to-Peer review is more favorable to the enrollee and the rendering/requesting provide resulting in a less stringent, more advantageous process for MH/SUD claims because it is proactive, as compared to the process for M/S claims whereby any peer-to-peer review is, unless otherwise required by state law, conducted reactively, i.e., if the rendering provider outreaches to Cigna.</w:t>
            </w:r>
          </w:p>
          <w:p w14:paraId="5FBA6C50" w14:textId="0D2AF166" w:rsidR="00806566" w:rsidRPr="00D61E32" w:rsidRDefault="00806566">
            <w:pPr>
              <w:rPr>
                <w:rFonts w:ascii="Century Gothic" w:hAnsi="Century Gothic" w:cs="Arial"/>
              </w:rPr>
            </w:pPr>
            <w:r w:rsidRPr="00D61E32">
              <w:rPr>
                <w:rFonts w:ascii="Century Gothic" w:hAnsi="Century Gothic" w:cs="Arial"/>
              </w:rPr>
              <w:t>Cigna has not identified any additional discrepancies in operational policies between MH/SUD and M/S benefits where the discrepancies present a comparability or stringency problem within the context of the NQTL requirement.  Instances where discrepancies between the process of administering MH/SUD and M/S benefits do not present an NQTL issue include, for example, situations where a discrepancy in process is more advantageous to the administration of MH/SUD benefits than M/S benefits such as the pro-active behavioral health peer-to-peer review process outlined herein. The Peer-to-Peer analysis is addressed in the “in operation” section of this submission set forth below.</w:t>
            </w:r>
          </w:p>
          <w:p w14:paraId="04783E0C" w14:textId="437B81BD" w:rsidR="00806566" w:rsidRPr="00D61E32" w:rsidRDefault="00806566">
            <w:pPr>
              <w:rPr>
                <w:rFonts w:ascii="Century Gothic" w:hAnsi="Century Gothic" w:cs="Arial"/>
              </w:rPr>
            </w:pPr>
            <w:r w:rsidRPr="00D61E32">
              <w:rPr>
                <w:rFonts w:ascii="Century Gothic" w:hAnsi="Century Gothic" w:cs="Arial"/>
              </w:rPr>
              <w:t>Cigna also reviewed the ROIs for both MH/SUD and M/S non-emergent inpatient admissions. For the purposes of the ROI calculation, the estimated costs to perform a coverage review, which is informed by costs/expenses for personnel salaries and time to review.  Cigna reviewed the ROI for both M/S and MH/SUD non-emergent inpatient admissions.</w:t>
            </w:r>
            <w:r w:rsidRPr="00D61E32">
              <w:rPr>
                <w:rFonts w:ascii="Century Gothic" w:hAnsi="Century Gothic" w:cs="Arial"/>
                <w:color w:val="FF0000"/>
              </w:rPr>
              <w:t xml:space="preserve">  </w:t>
            </w:r>
            <w:r w:rsidRPr="00D61E32">
              <w:rPr>
                <w:rFonts w:ascii="Century Gothic" w:hAnsi="Century Gothic" w:cs="Arial"/>
              </w:rPr>
              <w:t>M/S services for non-emergent inpatient admissions calculated at 9:1 for 2019, 8:0 for 2020 and 10:1 for partial year 2021 and ROIs for MH/SUD services for non-emergent inpatient admissions calculated at 2.93:1 for 2019, 2.05:1 for 2020 and 2.03:1 for partial year 2021 respectively.  These calculations are consistent with the factor/evidentiary standard outlined in Steps 2 and 3, namely that the application of prior authorization to inpatient M/S benefits produces a positive savings for both MH/SUD and M/S benefits, as measured in the aggregate across the Cigna-administered book-of-business.   To be clear, if the number preceding the colon is greater than 1 (e.g., 2.93), then the application of prior authorization produces a positive ROI and thus meets the evidentiary standard for application of the same to MH/SUD or M/S inpatient benefits.</w:t>
            </w:r>
          </w:p>
          <w:p w14:paraId="2117CD4E" w14:textId="742D0586" w:rsidR="00806566" w:rsidRPr="00D61E32" w:rsidRDefault="00806566">
            <w:pPr>
              <w:rPr>
                <w:rFonts w:ascii="Century Gothic" w:hAnsi="Century Gothic" w:cs="Arial"/>
              </w:rPr>
            </w:pPr>
            <w:r w:rsidRPr="00D61E32">
              <w:rPr>
                <w:rFonts w:ascii="Century Gothic" w:hAnsi="Century Gothic" w:cs="Arial"/>
              </w:rPr>
              <w:t>Additionally, Cigna conducts routine (occurring no less frequently than annually) Inter-Rater Reliability (IRR) testing is used to evaluate consistency of clinical decision-making across reviewers and to identify any potential revisions to coverage policies that may be warranted. Corrective action is initiated if a score falls below 85% and if the results are below 90% the Medical Director will evaluate the scores and decide whether to convene a review process with the Medical Directors/Physician Reviewers. Of note, the company’s most recent MH/SUD IRR exercise did not reveal a need to revise its coverage policies governing reviews of MH/SUD benefits.</w:t>
            </w:r>
          </w:p>
          <w:p w14:paraId="74BDC2A3" w14:textId="77777777" w:rsidR="00806566" w:rsidRPr="00D61E32" w:rsidRDefault="00806566">
            <w:pPr>
              <w:rPr>
                <w:rFonts w:ascii="Century Gothic" w:hAnsi="Century Gothic" w:cs="Arial"/>
              </w:rPr>
            </w:pPr>
            <w:proofErr w:type="gramStart"/>
            <w:r w:rsidRPr="00D61E32">
              <w:rPr>
                <w:rFonts w:ascii="Century Gothic" w:hAnsi="Century Gothic" w:cs="Arial"/>
                <w:i/>
              </w:rPr>
              <w:t>E..</w:t>
            </w:r>
            <w:proofErr w:type="gramEnd"/>
            <w:r w:rsidRPr="00D61E32">
              <w:rPr>
                <w:rFonts w:ascii="Century Gothic" w:hAnsi="Century Gothic" w:cs="Arial"/>
                <w:i/>
              </w:rPr>
              <w:t xml:space="preserve"> Minimum standards to issue a denial (e.g. sign-off from a physician with relevant board certification)</w:t>
            </w:r>
            <w:r w:rsidRPr="00D61E32">
              <w:rPr>
                <w:rFonts w:ascii="Century Gothic" w:hAnsi="Century Gothic" w:cs="Arial"/>
              </w:rPr>
              <w:t>:</w:t>
            </w:r>
          </w:p>
          <w:p w14:paraId="2EE0D8BC" w14:textId="77777777" w:rsidR="00806566" w:rsidRPr="00D61E32" w:rsidRDefault="00806566">
            <w:pPr>
              <w:rPr>
                <w:rFonts w:ascii="Century Gothic" w:hAnsi="Century Gothic" w:cs="Arial"/>
                <w:b/>
                <w:bCs/>
              </w:rPr>
            </w:pPr>
            <w:r w:rsidRPr="00D61E32">
              <w:rPr>
                <w:rFonts w:ascii="Century Gothic" w:hAnsi="Century Gothic" w:cs="Arial"/>
                <w:b/>
                <w:bCs/>
              </w:rPr>
              <w:t>Cigna</w:t>
            </w:r>
          </w:p>
          <w:p w14:paraId="01330C31" w14:textId="7E39EC06" w:rsidR="00806566" w:rsidRPr="00E70A33" w:rsidRDefault="00806566">
            <w:pPr>
              <w:rPr>
                <w:rFonts w:ascii="Century Gothic" w:hAnsi="Century Gothic" w:cs="Arial"/>
                <w:b/>
                <w:bCs/>
              </w:rPr>
            </w:pPr>
            <w:r w:rsidRPr="00D61E32">
              <w:rPr>
                <w:rFonts w:ascii="Century Gothic" w:hAnsi="Century Gothic" w:cs="Arial"/>
              </w:rPr>
              <w:t xml:space="preserve">If the nurse reviewer/care manager assesses the enrollee does not appear to meet medical necessity criteria for the request, he/she refers the case to a peer reviewer (e.g. Medical Director) who reviews the clinical information and determines whether the enrollee meets medical necessity criteria for the request (i.e., peer reviewer may authorize or deny benefit authorization depending upon the information provided by the treating provider). See “Peer to Peer Review Variation” section above for additional details and analysis related to Cigna’s peer-to-peer review process. </w:t>
            </w:r>
          </w:p>
          <w:p w14:paraId="7F06A38E" w14:textId="7030B04C" w:rsidR="00806566" w:rsidRPr="00D61E32" w:rsidRDefault="00806566">
            <w:pPr>
              <w:rPr>
                <w:rFonts w:ascii="Century Gothic" w:hAnsi="Century Gothic" w:cs="Arial"/>
              </w:rPr>
            </w:pPr>
            <w:r w:rsidRPr="00D61E32">
              <w:rPr>
                <w:rFonts w:ascii="Century Gothic" w:hAnsi="Century Gothic" w:cs="Arial"/>
              </w:rPr>
              <w:t>Final adverse</w:t>
            </w:r>
            <w:r w:rsidRPr="00D61E32">
              <w:rPr>
                <w:rFonts w:ascii="Century Gothic" w:hAnsi="Century Gothic" w:cs="Arial"/>
                <w:lang w:val="x-none"/>
              </w:rPr>
              <w:t xml:space="preserve"> determinations of medical/surgical services and MH/SUD services are made in accordance with evidence-based treatment guidelines by physician peer reviewers licensed in the same or similar specialty area as the treating provider.</w:t>
            </w:r>
          </w:p>
        </w:tc>
        <w:tc>
          <w:tcPr>
            <w:tcW w:w="2500" w:type="pct"/>
            <w:tcBorders>
              <w:top w:val="single" w:sz="4" w:space="0" w:color="auto"/>
              <w:left w:val="single" w:sz="4" w:space="0" w:color="auto"/>
              <w:bottom w:val="single" w:sz="4" w:space="0" w:color="auto"/>
              <w:right w:val="single" w:sz="4" w:space="0" w:color="auto"/>
            </w:tcBorders>
          </w:tcPr>
          <w:p w14:paraId="3CBD8622" w14:textId="77777777" w:rsidR="00806566" w:rsidRPr="00D61E32" w:rsidRDefault="00806566">
            <w:pPr>
              <w:rPr>
                <w:rFonts w:ascii="Century Gothic" w:hAnsi="Century Gothic" w:cs="Arial"/>
              </w:rPr>
            </w:pPr>
            <w:r w:rsidRPr="00D61E32">
              <w:rPr>
                <w:rFonts w:ascii="Century Gothic" w:hAnsi="Century Gothic" w:cs="Arial"/>
                <w:b/>
                <w:i/>
              </w:rPr>
              <w:t>Step 4(a): Briefly describe the processes by which Prior Authorization is applied to MH/SUD benefits</w:t>
            </w:r>
            <w:r w:rsidRPr="00D61E32">
              <w:rPr>
                <w:rFonts w:ascii="Century Gothic" w:hAnsi="Century Gothic" w:cs="Arial"/>
              </w:rPr>
              <w:t>:</w:t>
            </w:r>
          </w:p>
          <w:p w14:paraId="3AE9A34F" w14:textId="365F16B0" w:rsidR="00806566" w:rsidRPr="00E70A33" w:rsidRDefault="00806566">
            <w:pPr>
              <w:rPr>
                <w:rFonts w:ascii="Century Gothic" w:hAnsi="Century Gothic" w:cs="Arial"/>
              </w:rPr>
            </w:pPr>
            <w:r w:rsidRPr="00D61E32">
              <w:rPr>
                <w:rFonts w:ascii="Century Gothic" w:hAnsi="Century Gothic" w:cs="Arial"/>
                <w:i/>
              </w:rPr>
              <w:t>A. Timelines and deadlines, including the frequency with which re-authorizations are required</w:t>
            </w:r>
            <w:r w:rsidRPr="00D61E32">
              <w:rPr>
                <w:rFonts w:ascii="Century Gothic" w:hAnsi="Century Gothic" w:cs="Arial"/>
              </w:rPr>
              <w:t>:</w:t>
            </w:r>
          </w:p>
          <w:p w14:paraId="302AD9FA" w14:textId="77777777" w:rsidR="00806566" w:rsidRPr="00D61E32" w:rsidRDefault="00806566">
            <w:pPr>
              <w:rPr>
                <w:rFonts w:ascii="Century Gothic" w:hAnsi="Century Gothic" w:cs="Arial"/>
                <w:b/>
                <w:bCs/>
              </w:rPr>
            </w:pPr>
            <w:r w:rsidRPr="00D61E32">
              <w:rPr>
                <w:rFonts w:ascii="Century Gothic" w:hAnsi="Century Gothic" w:cs="Arial"/>
                <w:b/>
                <w:bCs/>
              </w:rPr>
              <w:t>Cigna</w:t>
            </w:r>
          </w:p>
          <w:p w14:paraId="76F92236" w14:textId="77777777" w:rsidR="00806566" w:rsidRPr="00D61E32" w:rsidRDefault="00806566">
            <w:pPr>
              <w:rPr>
                <w:rFonts w:ascii="Century Gothic" w:hAnsi="Century Gothic" w:cs="Arial"/>
              </w:rPr>
            </w:pPr>
            <w:r w:rsidRPr="00D61E32">
              <w:rPr>
                <w:rFonts w:ascii="Century Gothic" w:hAnsi="Century Gothic" w:cs="Arial"/>
              </w:rPr>
              <w:t xml:space="preserve">Same as M/S </w:t>
            </w:r>
          </w:p>
          <w:p w14:paraId="2D0B9693" w14:textId="77777777" w:rsidR="00806566" w:rsidRPr="00D61E32" w:rsidRDefault="00806566">
            <w:pPr>
              <w:rPr>
                <w:rFonts w:ascii="Century Gothic" w:hAnsi="Century Gothic" w:cs="Arial"/>
                <w:b/>
                <w:bCs/>
              </w:rPr>
            </w:pPr>
          </w:p>
          <w:p w14:paraId="309C59B3" w14:textId="77777777" w:rsidR="00806566" w:rsidRPr="00D61E32" w:rsidRDefault="00806566">
            <w:pPr>
              <w:rPr>
                <w:rFonts w:ascii="Century Gothic" w:hAnsi="Century Gothic" w:cs="Arial"/>
                <w:b/>
                <w:bCs/>
              </w:rPr>
            </w:pPr>
          </w:p>
          <w:p w14:paraId="7929E8C3" w14:textId="77777777" w:rsidR="00806566" w:rsidRPr="00D61E32" w:rsidRDefault="00806566">
            <w:pPr>
              <w:rPr>
                <w:rFonts w:ascii="Century Gothic" w:hAnsi="Century Gothic" w:cs="Arial"/>
              </w:rPr>
            </w:pPr>
            <w:r w:rsidRPr="00D61E32">
              <w:rPr>
                <w:rFonts w:ascii="Century Gothic" w:hAnsi="Century Gothic" w:cs="Arial"/>
                <w:i/>
              </w:rPr>
              <w:t>B. Forms and/or other information required to be submitted by the provider</w:t>
            </w:r>
            <w:r w:rsidRPr="00D61E32">
              <w:rPr>
                <w:rFonts w:ascii="Century Gothic" w:hAnsi="Century Gothic" w:cs="Arial"/>
              </w:rPr>
              <w:t>:</w:t>
            </w:r>
          </w:p>
          <w:p w14:paraId="57D37EA5" w14:textId="77777777" w:rsidR="00806566" w:rsidRPr="00D61E32" w:rsidRDefault="00806566">
            <w:pPr>
              <w:rPr>
                <w:rFonts w:ascii="Century Gothic" w:hAnsi="Century Gothic" w:cs="Arial"/>
                <w:b/>
                <w:bCs/>
              </w:rPr>
            </w:pPr>
            <w:r w:rsidRPr="00D61E32">
              <w:rPr>
                <w:rFonts w:ascii="Century Gothic" w:hAnsi="Century Gothic" w:cs="Arial"/>
                <w:b/>
                <w:bCs/>
              </w:rPr>
              <w:t>Cigna</w:t>
            </w:r>
          </w:p>
          <w:p w14:paraId="67AE58E1" w14:textId="77777777" w:rsidR="00806566" w:rsidRPr="00D61E32" w:rsidRDefault="00806566">
            <w:pPr>
              <w:rPr>
                <w:rFonts w:ascii="Century Gothic" w:hAnsi="Century Gothic" w:cs="Arial"/>
              </w:rPr>
            </w:pPr>
            <w:r w:rsidRPr="00D61E32">
              <w:rPr>
                <w:rFonts w:ascii="Century Gothic" w:hAnsi="Century Gothic" w:cs="Arial"/>
              </w:rPr>
              <w:t xml:space="preserve">Same as M/S </w:t>
            </w:r>
          </w:p>
          <w:p w14:paraId="2694A0E2" w14:textId="77777777" w:rsidR="00806566" w:rsidRPr="00D61E32" w:rsidRDefault="00806566">
            <w:pPr>
              <w:rPr>
                <w:rFonts w:ascii="Century Gothic" w:hAnsi="Century Gothic" w:cs="Arial"/>
              </w:rPr>
            </w:pPr>
          </w:p>
          <w:p w14:paraId="2EECBC38" w14:textId="77777777" w:rsidR="00806566" w:rsidRPr="00D61E32" w:rsidRDefault="00806566">
            <w:pPr>
              <w:rPr>
                <w:rFonts w:ascii="Century Gothic" w:hAnsi="Century Gothic" w:cs="Arial"/>
                <w:b/>
                <w:bCs/>
              </w:rPr>
            </w:pPr>
          </w:p>
          <w:p w14:paraId="4AFD7A13" w14:textId="77777777" w:rsidR="00806566" w:rsidRPr="00D61E32" w:rsidRDefault="00806566">
            <w:pPr>
              <w:rPr>
                <w:rFonts w:ascii="Century Gothic" w:hAnsi="Century Gothic" w:cs="Arial"/>
                <w:b/>
                <w:bCs/>
              </w:rPr>
            </w:pPr>
          </w:p>
          <w:p w14:paraId="7940FA8C" w14:textId="77777777" w:rsidR="00806566" w:rsidRPr="00D61E32" w:rsidRDefault="00806566">
            <w:pPr>
              <w:rPr>
                <w:rFonts w:ascii="Century Gothic" w:hAnsi="Century Gothic" w:cs="Arial"/>
                <w:b/>
                <w:bCs/>
              </w:rPr>
            </w:pPr>
          </w:p>
          <w:p w14:paraId="4CD8D048" w14:textId="77777777" w:rsidR="00806566" w:rsidRPr="00D61E32" w:rsidRDefault="00806566">
            <w:pPr>
              <w:rPr>
                <w:rFonts w:ascii="Century Gothic" w:hAnsi="Century Gothic" w:cs="Arial"/>
              </w:rPr>
            </w:pPr>
          </w:p>
          <w:p w14:paraId="34BB4B13" w14:textId="77777777" w:rsidR="00806566" w:rsidRPr="00D61E32" w:rsidRDefault="00806566">
            <w:pPr>
              <w:rPr>
                <w:rFonts w:ascii="Century Gothic" w:hAnsi="Century Gothic" w:cs="Arial"/>
              </w:rPr>
            </w:pPr>
          </w:p>
          <w:p w14:paraId="103BE77B" w14:textId="77777777" w:rsidR="00806566" w:rsidRDefault="00806566">
            <w:pPr>
              <w:rPr>
                <w:rFonts w:ascii="Century Gothic" w:hAnsi="Century Gothic" w:cs="Arial"/>
              </w:rPr>
            </w:pPr>
          </w:p>
          <w:p w14:paraId="5EE3FCDC" w14:textId="77777777" w:rsidR="00E70A33" w:rsidRDefault="00E70A33">
            <w:pPr>
              <w:rPr>
                <w:rFonts w:ascii="Century Gothic" w:hAnsi="Century Gothic" w:cs="Arial"/>
              </w:rPr>
            </w:pPr>
          </w:p>
          <w:p w14:paraId="20C49247" w14:textId="77777777" w:rsidR="00E70A33" w:rsidRPr="00D61E32" w:rsidRDefault="00E70A33">
            <w:pPr>
              <w:rPr>
                <w:rFonts w:ascii="Century Gothic" w:hAnsi="Century Gothic" w:cs="Arial"/>
              </w:rPr>
            </w:pPr>
          </w:p>
          <w:p w14:paraId="652C0969" w14:textId="77777777" w:rsidR="00806566" w:rsidRPr="00D61E32" w:rsidRDefault="00806566">
            <w:pPr>
              <w:rPr>
                <w:rFonts w:ascii="Century Gothic" w:hAnsi="Century Gothic" w:cs="Arial"/>
              </w:rPr>
            </w:pPr>
          </w:p>
          <w:p w14:paraId="6571F608" w14:textId="77777777" w:rsidR="00806566" w:rsidRPr="00D61E32" w:rsidRDefault="00806566">
            <w:pPr>
              <w:rPr>
                <w:rFonts w:ascii="Century Gothic" w:hAnsi="Century Gothic" w:cs="Arial"/>
              </w:rPr>
            </w:pPr>
            <w:r w:rsidRPr="00D61E32">
              <w:rPr>
                <w:rFonts w:ascii="Century Gothic" w:hAnsi="Century Gothic" w:cs="Arial"/>
                <w:i/>
              </w:rPr>
              <w:t xml:space="preserve">C. Utilization management manuals and any other documentation of UM processes that are relied upon to </w:t>
            </w:r>
            <w:proofErr w:type="gramStart"/>
            <w:r w:rsidRPr="00D61E32">
              <w:rPr>
                <w:rFonts w:ascii="Century Gothic" w:hAnsi="Century Gothic" w:cs="Arial"/>
                <w:i/>
              </w:rPr>
              <w:t>make a determination</w:t>
            </w:r>
            <w:proofErr w:type="gramEnd"/>
            <w:r w:rsidRPr="00D61E32">
              <w:rPr>
                <w:rFonts w:ascii="Century Gothic" w:hAnsi="Century Gothic" w:cs="Arial"/>
              </w:rPr>
              <w:t>:</w:t>
            </w:r>
          </w:p>
          <w:p w14:paraId="5FF87888" w14:textId="77777777" w:rsidR="00806566" w:rsidRPr="00D61E32" w:rsidRDefault="00806566">
            <w:pPr>
              <w:rPr>
                <w:rFonts w:ascii="Century Gothic" w:hAnsi="Century Gothic" w:cs="Arial"/>
                <w:b/>
                <w:bCs/>
              </w:rPr>
            </w:pPr>
            <w:r w:rsidRPr="00D61E32">
              <w:rPr>
                <w:rFonts w:ascii="Century Gothic" w:hAnsi="Century Gothic" w:cs="Arial"/>
                <w:b/>
                <w:bCs/>
              </w:rPr>
              <w:t>Cigna</w:t>
            </w:r>
          </w:p>
          <w:p w14:paraId="5A34DB43" w14:textId="77777777" w:rsidR="00806566" w:rsidRPr="00D61E32" w:rsidRDefault="00806566">
            <w:pPr>
              <w:rPr>
                <w:rFonts w:ascii="Century Gothic" w:hAnsi="Century Gothic" w:cs="Arial"/>
              </w:rPr>
            </w:pPr>
            <w:r w:rsidRPr="00D61E32">
              <w:rPr>
                <w:rFonts w:ascii="Century Gothic" w:hAnsi="Century Gothic" w:cs="Arial"/>
              </w:rPr>
              <w:t>Same as M/S</w:t>
            </w:r>
          </w:p>
          <w:p w14:paraId="38CC7BB9" w14:textId="77777777" w:rsidR="00806566" w:rsidRPr="00D61E32" w:rsidRDefault="00806566">
            <w:pPr>
              <w:rPr>
                <w:rFonts w:ascii="Century Gothic" w:hAnsi="Century Gothic" w:cs="Arial"/>
              </w:rPr>
            </w:pPr>
          </w:p>
          <w:p w14:paraId="17B32EA4" w14:textId="77777777" w:rsidR="00806566" w:rsidRPr="00D61E32" w:rsidRDefault="00806566">
            <w:pPr>
              <w:rPr>
                <w:rFonts w:ascii="Century Gothic" w:hAnsi="Century Gothic" w:cs="Arial"/>
              </w:rPr>
            </w:pPr>
          </w:p>
          <w:p w14:paraId="50111987" w14:textId="77777777" w:rsidR="00806566" w:rsidRPr="00D61E32" w:rsidRDefault="00806566">
            <w:pPr>
              <w:rPr>
                <w:rFonts w:ascii="Century Gothic" w:hAnsi="Century Gothic" w:cs="Arial"/>
              </w:rPr>
            </w:pPr>
          </w:p>
          <w:p w14:paraId="3B0D229D" w14:textId="77777777" w:rsidR="00806566" w:rsidRPr="00D61E32" w:rsidRDefault="00806566">
            <w:pPr>
              <w:rPr>
                <w:rFonts w:ascii="Century Gothic" w:hAnsi="Century Gothic" w:cs="Arial"/>
              </w:rPr>
            </w:pPr>
          </w:p>
          <w:p w14:paraId="01F5C152" w14:textId="77777777" w:rsidR="00806566" w:rsidRPr="00D61E32" w:rsidRDefault="00806566">
            <w:pPr>
              <w:rPr>
                <w:rFonts w:ascii="Century Gothic" w:hAnsi="Century Gothic" w:cs="Arial"/>
              </w:rPr>
            </w:pPr>
          </w:p>
          <w:p w14:paraId="4C0629ED" w14:textId="77777777" w:rsidR="00806566" w:rsidRPr="00D61E32" w:rsidRDefault="00806566">
            <w:pPr>
              <w:rPr>
                <w:rFonts w:ascii="Century Gothic" w:hAnsi="Century Gothic" w:cs="Arial"/>
              </w:rPr>
            </w:pPr>
          </w:p>
          <w:p w14:paraId="2383395A" w14:textId="77777777" w:rsidR="00806566" w:rsidRPr="00D61E32" w:rsidRDefault="00806566">
            <w:pPr>
              <w:rPr>
                <w:rFonts w:ascii="Century Gothic" w:hAnsi="Century Gothic" w:cs="Arial"/>
              </w:rPr>
            </w:pPr>
          </w:p>
          <w:p w14:paraId="7C3BEA6A" w14:textId="77777777" w:rsidR="00806566" w:rsidRPr="00D61E32" w:rsidRDefault="00806566">
            <w:pPr>
              <w:rPr>
                <w:rFonts w:ascii="Century Gothic" w:hAnsi="Century Gothic" w:cs="Arial"/>
              </w:rPr>
            </w:pPr>
          </w:p>
          <w:p w14:paraId="219CD19B" w14:textId="77777777" w:rsidR="00806566" w:rsidRPr="00D61E32" w:rsidRDefault="00806566">
            <w:pPr>
              <w:rPr>
                <w:rFonts w:ascii="Century Gothic" w:hAnsi="Century Gothic" w:cs="Arial"/>
              </w:rPr>
            </w:pPr>
          </w:p>
          <w:p w14:paraId="1821ECC5" w14:textId="77777777" w:rsidR="00806566" w:rsidRPr="00D61E32" w:rsidRDefault="00806566">
            <w:pPr>
              <w:rPr>
                <w:rFonts w:ascii="Century Gothic" w:hAnsi="Century Gothic" w:cs="Arial"/>
              </w:rPr>
            </w:pPr>
          </w:p>
          <w:p w14:paraId="688503A7" w14:textId="77777777" w:rsidR="00806566" w:rsidRPr="00D61E32" w:rsidRDefault="00806566">
            <w:pPr>
              <w:rPr>
                <w:rFonts w:ascii="Century Gothic" w:hAnsi="Century Gothic" w:cs="Arial"/>
              </w:rPr>
            </w:pPr>
          </w:p>
          <w:p w14:paraId="51E9FF73" w14:textId="77777777" w:rsidR="00806566" w:rsidRPr="00D61E32" w:rsidRDefault="00806566">
            <w:pPr>
              <w:rPr>
                <w:rFonts w:ascii="Century Gothic" w:hAnsi="Century Gothic" w:cs="Arial"/>
              </w:rPr>
            </w:pPr>
          </w:p>
          <w:p w14:paraId="18F9BA31" w14:textId="77777777" w:rsidR="00806566" w:rsidRPr="00D61E32" w:rsidRDefault="00806566">
            <w:pPr>
              <w:rPr>
                <w:rFonts w:ascii="Century Gothic" w:hAnsi="Century Gothic" w:cs="Arial"/>
              </w:rPr>
            </w:pPr>
          </w:p>
          <w:p w14:paraId="3F68B45B" w14:textId="77777777" w:rsidR="00806566" w:rsidRPr="00D61E32" w:rsidRDefault="00806566">
            <w:pPr>
              <w:rPr>
                <w:rFonts w:ascii="Century Gothic" w:hAnsi="Century Gothic" w:cs="Arial"/>
                <w:color w:val="FF0000"/>
              </w:rPr>
            </w:pPr>
          </w:p>
          <w:p w14:paraId="2EDBD6A2" w14:textId="77777777" w:rsidR="00806566" w:rsidRPr="00D61E32" w:rsidRDefault="00806566">
            <w:pPr>
              <w:rPr>
                <w:rFonts w:ascii="Century Gothic" w:hAnsi="Century Gothic" w:cs="Arial"/>
                <w:color w:val="FF0000"/>
              </w:rPr>
            </w:pPr>
          </w:p>
          <w:p w14:paraId="42C5DAF2" w14:textId="77777777" w:rsidR="00806566" w:rsidRPr="00D61E32" w:rsidRDefault="00806566">
            <w:pPr>
              <w:rPr>
                <w:rFonts w:ascii="Century Gothic" w:hAnsi="Century Gothic" w:cs="Arial"/>
                <w:color w:val="FF0000"/>
              </w:rPr>
            </w:pPr>
          </w:p>
          <w:p w14:paraId="3B6D4471" w14:textId="77777777" w:rsidR="00806566" w:rsidRDefault="00806566">
            <w:pPr>
              <w:rPr>
                <w:rFonts w:ascii="Century Gothic" w:hAnsi="Century Gothic" w:cs="Arial"/>
                <w:i/>
              </w:rPr>
            </w:pPr>
          </w:p>
          <w:p w14:paraId="615571B0" w14:textId="77777777" w:rsidR="00E70A33" w:rsidRDefault="00E70A33">
            <w:pPr>
              <w:rPr>
                <w:rFonts w:ascii="Century Gothic" w:hAnsi="Century Gothic" w:cs="Arial"/>
                <w:i/>
              </w:rPr>
            </w:pPr>
          </w:p>
          <w:p w14:paraId="1E11E78C" w14:textId="77777777" w:rsidR="00E70A33" w:rsidRDefault="00E70A33">
            <w:pPr>
              <w:rPr>
                <w:rFonts w:ascii="Century Gothic" w:hAnsi="Century Gothic" w:cs="Arial"/>
                <w:i/>
              </w:rPr>
            </w:pPr>
          </w:p>
          <w:p w14:paraId="2718D7FF" w14:textId="77777777" w:rsidR="00E70A33" w:rsidRDefault="00E70A33">
            <w:pPr>
              <w:rPr>
                <w:rFonts w:ascii="Century Gothic" w:hAnsi="Century Gothic" w:cs="Arial"/>
                <w:i/>
              </w:rPr>
            </w:pPr>
          </w:p>
          <w:p w14:paraId="008A588D" w14:textId="77777777" w:rsidR="00E70A33" w:rsidRDefault="00E70A33">
            <w:pPr>
              <w:rPr>
                <w:rFonts w:ascii="Century Gothic" w:hAnsi="Century Gothic" w:cs="Arial"/>
                <w:i/>
              </w:rPr>
            </w:pPr>
          </w:p>
          <w:p w14:paraId="729D7465" w14:textId="77777777" w:rsidR="00E70A33" w:rsidRPr="00D61E32" w:rsidRDefault="00E70A33">
            <w:pPr>
              <w:rPr>
                <w:rFonts w:ascii="Century Gothic" w:hAnsi="Century Gothic" w:cs="Arial"/>
                <w:i/>
              </w:rPr>
            </w:pPr>
          </w:p>
          <w:p w14:paraId="6D0032EB" w14:textId="27013D3F" w:rsidR="00806566" w:rsidRPr="00D61E32" w:rsidRDefault="00806566">
            <w:pPr>
              <w:rPr>
                <w:rFonts w:ascii="Century Gothic" w:hAnsi="Century Gothic" w:cs="Arial"/>
              </w:rPr>
            </w:pPr>
            <w:r w:rsidRPr="00D61E32">
              <w:rPr>
                <w:rFonts w:ascii="Century Gothic" w:hAnsi="Century Gothic" w:cs="Arial"/>
                <w:i/>
              </w:rPr>
              <w:t xml:space="preserve">D. In-operation processes in place to </w:t>
            </w:r>
            <w:proofErr w:type="gramStart"/>
            <w:r w:rsidRPr="00D61E32">
              <w:rPr>
                <w:rFonts w:ascii="Century Gothic" w:hAnsi="Century Gothic" w:cs="Arial"/>
                <w:i/>
              </w:rPr>
              <w:t>make a determination</w:t>
            </w:r>
            <w:proofErr w:type="gramEnd"/>
            <w:r w:rsidRPr="00D61E32">
              <w:rPr>
                <w:rFonts w:ascii="Century Gothic" w:hAnsi="Century Gothic" w:cs="Arial"/>
                <w:i/>
              </w:rPr>
              <w:t xml:space="preserve"> such as distinctions between first and second-level reviews or between administrative and clinical reviews, peer-to-peer reviews, and the use of medical discretion applied in lieu of or in the absence of written criteria and guidelines</w:t>
            </w:r>
            <w:r w:rsidRPr="00D61E32">
              <w:rPr>
                <w:rFonts w:ascii="Century Gothic" w:hAnsi="Century Gothic" w:cs="Arial"/>
              </w:rPr>
              <w:t>:</w:t>
            </w:r>
          </w:p>
          <w:p w14:paraId="3BAE43C1" w14:textId="77777777" w:rsidR="00806566" w:rsidRPr="00D61E32" w:rsidRDefault="00806566">
            <w:pPr>
              <w:rPr>
                <w:rFonts w:ascii="Century Gothic" w:hAnsi="Century Gothic" w:cs="Arial"/>
                <w:b/>
                <w:bCs/>
              </w:rPr>
            </w:pPr>
            <w:r w:rsidRPr="00D61E32">
              <w:rPr>
                <w:rFonts w:ascii="Century Gothic" w:hAnsi="Century Gothic" w:cs="Arial"/>
                <w:b/>
                <w:bCs/>
              </w:rPr>
              <w:t xml:space="preserve">Cigna </w:t>
            </w:r>
          </w:p>
          <w:p w14:paraId="29FFEFAE" w14:textId="759771C6" w:rsidR="00806566" w:rsidRPr="00D61E32" w:rsidRDefault="00806566">
            <w:pPr>
              <w:rPr>
                <w:rFonts w:ascii="Century Gothic" w:hAnsi="Century Gothic" w:cs="Arial"/>
              </w:rPr>
            </w:pPr>
            <w:r w:rsidRPr="00D61E32">
              <w:rPr>
                <w:rFonts w:ascii="Century Gothic" w:hAnsi="Century Gothic" w:cs="Arial"/>
              </w:rPr>
              <w:t xml:space="preserve">If the nurse reviewer/care manager assesses the enrollee does not appear to meet medical necessity criteria for the request, he/she refers the case to a peer reviewer (e.g. Medical Director) who conducts a peer-to-peer review with the treating provider. The peer reviewer reviews the clinical information and determines whether the enrollee meets medical necessity criteria for the request (i.e., peer reviewer may authorize or deny benefit authorization depending upon the information provided by the treating provider). Cigna typically authorizes 1-4 M/S or MH/SUD inpatient days upon pre-service review.  </w:t>
            </w:r>
          </w:p>
          <w:p w14:paraId="5A9AB4A9" w14:textId="77777777" w:rsidR="00806566" w:rsidRPr="00D61E32" w:rsidRDefault="00806566">
            <w:pPr>
              <w:rPr>
                <w:rFonts w:ascii="Century Gothic" w:hAnsi="Century Gothic" w:cs="Arial"/>
                <w:i/>
                <w:iCs/>
              </w:rPr>
            </w:pPr>
            <w:r w:rsidRPr="00D61E32">
              <w:rPr>
                <w:rFonts w:ascii="Century Gothic" w:hAnsi="Century Gothic" w:cs="Arial"/>
                <w:i/>
                <w:iCs/>
              </w:rPr>
              <w:t xml:space="preserve">Peer to Peer Review Variation – </w:t>
            </w:r>
            <w:r w:rsidRPr="00D61E32">
              <w:rPr>
                <w:rFonts w:ascii="Century Gothic" w:hAnsi="Century Gothic" w:cs="Arial"/>
              </w:rPr>
              <w:t xml:space="preserve">Same as M/S see analysis in M/S </w:t>
            </w:r>
            <w:proofErr w:type="gramStart"/>
            <w:r w:rsidRPr="00D61E32">
              <w:rPr>
                <w:rFonts w:ascii="Century Gothic" w:hAnsi="Century Gothic" w:cs="Arial"/>
              </w:rPr>
              <w:t>column</w:t>
            </w:r>
            <w:proofErr w:type="gramEnd"/>
            <w:r w:rsidRPr="00D61E32">
              <w:rPr>
                <w:rFonts w:ascii="Century Gothic" w:hAnsi="Century Gothic" w:cs="Arial"/>
                <w:i/>
                <w:iCs/>
              </w:rPr>
              <w:t xml:space="preserve"> </w:t>
            </w:r>
          </w:p>
          <w:p w14:paraId="7C11980C" w14:textId="77777777" w:rsidR="00806566" w:rsidRPr="00D61E32" w:rsidRDefault="00806566">
            <w:pPr>
              <w:rPr>
                <w:rFonts w:ascii="Century Gothic" w:hAnsi="Century Gothic" w:cs="Arial"/>
              </w:rPr>
            </w:pPr>
          </w:p>
          <w:p w14:paraId="4A0310B3" w14:textId="77777777" w:rsidR="00806566" w:rsidRPr="00D61E32" w:rsidRDefault="00806566">
            <w:pPr>
              <w:rPr>
                <w:rFonts w:ascii="Century Gothic" w:hAnsi="Century Gothic" w:cs="Arial"/>
              </w:rPr>
            </w:pPr>
          </w:p>
          <w:p w14:paraId="72A4851B" w14:textId="77777777" w:rsidR="00806566" w:rsidRPr="00D61E32" w:rsidRDefault="00806566">
            <w:pPr>
              <w:rPr>
                <w:rFonts w:ascii="Century Gothic" w:hAnsi="Century Gothic" w:cs="Arial"/>
              </w:rPr>
            </w:pPr>
          </w:p>
          <w:p w14:paraId="2C935419" w14:textId="77777777" w:rsidR="00806566" w:rsidRPr="00D61E32" w:rsidRDefault="00806566">
            <w:pPr>
              <w:rPr>
                <w:rFonts w:ascii="Century Gothic" w:hAnsi="Century Gothic" w:cs="Arial"/>
              </w:rPr>
            </w:pPr>
          </w:p>
          <w:p w14:paraId="2B0DFD27" w14:textId="77777777" w:rsidR="00806566" w:rsidRPr="00D61E32" w:rsidRDefault="00806566">
            <w:pPr>
              <w:rPr>
                <w:rFonts w:ascii="Century Gothic" w:hAnsi="Century Gothic" w:cs="Arial"/>
              </w:rPr>
            </w:pPr>
          </w:p>
          <w:p w14:paraId="52B5923D" w14:textId="77777777" w:rsidR="00806566" w:rsidRPr="00D61E32" w:rsidRDefault="00806566">
            <w:pPr>
              <w:rPr>
                <w:rFonts w:ascii="Century Gothic" w:hAnsi="Century Gothic" w:cs="Arial"/>
                <w:b/>
                <w:bCs/>
              </w:rPr>
            </w:pPr>
          </w:p>
          <w:p w14:paraId="1AB81C88" w14:textId="77777777" w:rsidR="00806566" w:rsidRPr="00D61E32" w:rsidRDefault="00806566">
            <w:pPr>
              <w:rPr>
                <w:rFonts w:ascii="Century Gothic" w:hAnsi="Century Gothic" w:cs="Arial"/>
                <w:b/>
                <w:bCs/>
              </w:rPr>
            </w:pPr>
          </w:p>
          <w:p w14:paraId="242B563D" w14:textId="77777777" w:rsidR="00806566" w:rsidRPr="00D61E32" w:rsidRDefault="00806566">
            <w:pPr>
              <w:rPr>
                <w:rFonts w:ascii="Century Gothic" w:hAnsi="Century Gothic" w:cs="Arial"/>
                <w:b/>
                <w:bCs/>
              </w:rPr>
            </w:pPr>
          </w:p>
          <w:p w14:paraId="2D982AEB" w14:textId="77777777" w:rsidR="00806566" w:rsidRPr="00D61E32" w:rsidRDefault="00806566">
            <w:pPr>
              <w:rPr>
                <w:rFonts w:ascii="Century Gothic" w:hAnsi="Century Gothic" w:cs="Arial"/>
                <w:b/>
                <w:bCs/>
              </w:rPr>
            </w:pPr>
          </w:p>
          <w:p w14:paraId="41B33B29" w14:textId="77777777" w:rsidR="00806566" w:rsidRPr="00D61E32" w:rsidRDefault="00806566">
            <w:pPr>
              <w:rPr>
                <w:rFonts w:ascii="Century Gothic" w:hAnsi="Century Gothic" w:cs="Arial"/>
                <w:b/>
                <w:bCs/>
              </w:rPr>
            </w:pPr>
          </w:p>
          <w:p w14:paraId="13F159CE" w14:textId="77777777" w:rsidR="00806566" w:rsidRPr="00D61E32" w:rsidRDefault="00806566">
            <w:pPr>
              <w:rPr>
                <w:rFonts w:ascii="Century Gothic" w:hAnsi="Century Gothic" w:cs="Arial"/>
                <w:b/>
                <w:bCs/>
              </w:rPr>
            </w:pPr>
          </w:p>
          <w:p w14:paraId="2D0EF95F" w14:textId="77777777" w:rsidR="00806566" w:rsidRPr="00D61E32" w:rsidRDefault="00806566">
            <w:pPr>
              <w:rPr>
                <w:rFonts w:ascii="Century Gothic" w:hAnsi="Century Gothic" w:cs="Arial"/>
                <w:b/>
                <w:bCs/>
              </w:rPr>
            </w:pPr>
          </w:p>
          <w:p w14:paraId="32817A91" w14:textId="77777777" w:rsidR="00806566" w:rsidRPr="00D61E32" w:rsidRDefault="00806566">
            <w:pPr>
              <w:rPr>
                <w:rFonts w:ascii="Century Gothic" w:hAnsi="Century Gothic" w:cs="Arial"/>
                <w:b/>
                <w:bCs/>
              </w:rPr>
            </w:pPr>
          </w:p>
          <w:p w14:paraId="2C47EA56" w14:textId="77777777" w:rsidR="00806566" w:rsidRPr="00D61E32" w:rsidRDefault="00806566">
            <w:pPr>
              <w:rPr>
                <w:rFonts w:ascii="Century Gothic" w:hAnsi="Century Gothic" w:cs="Arial"/>
                <w:b/>
                <w:bCs/>
              </w:rPr>
            </w:pPr>
          </w:p>
          <w:p w14:paraId="5DF5C107" w14:textId="77777777" w:rsidR="00806566" w:rsidRPr="00D61E32" w:rsidRDefault="00806566">
            <w:pPr>
              <w:rPr>
                <w:rFonts w:ascii="Century Gothic" w:hAnsi="Century Gothic" w:cs="Arial"/>
                <w:b/>
                <w:bCs/>
              </w:rPr>
            </w:pPr>
          </w:p>
          <w:p w14:paraId="37FB16F0" w14:textId="77777777" w:rsidR="00806566" w:rsidRPr="00D61E32" w:rsidRDefault="00806566">
            <w:pPr>
              <w:rPr>
                <w:rFonts w:ascii="Century Gothic" w:hAnsi="Century Gothic" w:cs="Arial"/>
                <w:b/>
                <w:bCs/>
              </w:rPr>
            </w:pPr>
          </w:p>
          <w:p w14:paraId="36ABD685" w14:textId="77777777" w:rsidR="00806566" w:rsidRPr="00D61E32" w:rsidRDefault="00806566">
            <w:pPr>
              <w:rPr>
                <w:rFonts w:ascii="Century Gothic" w:hAnsi="Century Gothic" w:cs="Arial"/>
                <w:b/>
                <w:bCs/>
              </w:rPr>
            </w:pPr>
          </w:p>
          <w:p w14:paraId="79518447" w14:textId="77777777" w:rsidR="00806566" w:rsidRPr="00D61E32" w:rsidRDefault="00806566">
            <w:pPr>
              <w:rPr>
                <w:rFonts w:ascii="Century Gothic" w:hAnsi="Century Gothic" w:cs="Arial"/>
                <w:b/>
                <w:bCs/>
              </w:rPr>
            </w:pPr>
          </w:p>
          <w:p w14:paraId="474CA170" w14:textId="77777777" w:rsidR="00806566" w:rsidRPr="00D61E32" w:rsidRDefault="00806566">
            <w:pPr>
              <w:rPr>
                <w:rFonts w:ascii="Century Gothic" w:hAnsi="Century Gothic" w:cs="Arial"/>
                <w:b/>
                <w:bCs/>
              </w:rPr>
            </w:pPr>
          </w:p>
          <w:p w14:paraId="61DA1316" w14:textId="77777777" w:rsidR="00806566" w:rsidRPr="00D61E32" w:rsidRDefault="00806566">
            <w:pPr>
              <w:rPr>
                <w:rFonts w:ascii="Century Gothic" w:hAnsi="Century Gothic" w:cs="Arial"/>
                <w:b/>
                <w:bCs/>
              </w:rPr>
            </w:pPr>
          </w:p>
          <w:p w14:paraId="061B2530" w14:textId="77777777" w:rsidR="00806566" w:rsidRPr="00D61E32" w:rsidRDefault="00806566">
            <w:pPr>
              <w:rPr>
                <w:rFonts w:ascii="Century Gothic" w:hAnsi="Century Gothic" w:cs="Arial"/>
                <w:b/>
                <w:bCs/>
              </w:rPr>
            </w:pPr>
          </w:p>
          <w:p w14:paraId="5A6E4F05" w14:textId="77777777" w:rsidR="00806566" w:rsidRPr="00D61E32" w:rsidRDefault="00806566">
            <w:pPr>
              <w:rPr>
                <w:rFonts w:ascii="Century Gothic" w:hAnsi="Century Gothic" w:cs="Arial"/>
                <w:b/>
                <w:bCs/>
              </w:rPr>
            </w:pPr>
          </w:p>
          <w:p w14:paraId="54DA4F94" w14:textId="77777777" w:rsidR="00806566" w:rsidRPr="00D61E32" w:rsidRDefault="00806566">
            <w:pPr>
              <w:rPr>
                <w:rFonts w:ascii="Century Gothic" w:hAnsi="Century Gothic" w:cs="Arial"/>
                <w:b/>
                <w:bCs/>
              </w:rPr>
            </w:pPr>
          </w:p>
          <w:p w14:paraId="562BB5A9" w14:textId="77777777" w:rsidR="00806566" w:rsidRPr="00D61E32" w:rsidRDefault="00806566">
            <w:pPr>
              <w:rPr>
                <w:rFonts w:ascii="Century Gothic" w:hAnsi="Century Gothic" w:cs="Arial"/>
                <w:b/>
                <w:bCs/>
              </w:rPr>
            </w:pPr>
          </w:p>
          <w:p w14:paraId="65E4E684" w14:textId="77777777" w:rsidR="00806566" w:rsidRPr="00D61E32" w:rsidRDefault="00806566">
            <w:pPr>
              <w:rPr>
                <w:rFonts w:ascii="Century Gothic" w:hAnsi="Century Gothic" w:cs="Arial"/>
                <w:b/>
                <w:bCs/>
              </w:rPr>
            </w:pPr>
          </w:p>
          <w:p w14:paraId="196C32CB" w14:textId="77777777" w:rsidR="00806566" w:rsidRPr="00D61E32" w:rsidRDefault="00806566">
            <w:pPr>
              <w:rPr>
                <w:rFonts w:ascii="Century Gothic" w:hAnsi="Century Gothic" w:cs="Arial"/>
                <w:b/>
                <w:bCs/>
              </w:rPr>
            </w:pPr>
          </w:p>
          <w:p w14:paraId="66E54B3E" w14:textId="77777777" w:rsidR="00806566" w:rsidRPr="00D61E32" w:rsidRDefault="00806566">
            <w:pPr>
              <w:rPr>
                <w:rFonts w:ascii="Century Gothic" w:hAnsi="Century Gothic" w:cs="Arial"/>
                <w:b/>
                <w:bCs/>
              </w:rPr>
            </w:pPr>
          </w:p>
          <w:p w14:paraId="05847DE4" w14:textId="77777777" w:rsidR="00806566" w:rsidRPr="00D61E32" w:rsidRDefault="00806566">
            <w:pPr>
              <w:rPr>
                <w:rFonts w:ascii="Century Gothic" w:hAnsi="Century Gothic" w:cs="Arial"/>
                <w:b/>
                <w:bCs/>
              </w:rPr>
            </w:pPr>
          </w:p>
          <w:p w14:paraId="46DE4AAD" w14:textId="77777777" w:rsidR="00806566" w:rsidRPr="00D61E32" w:rsidRDefault="00806566">
            <w:pPr>
              <w:rPr>
                <w:rFonts w:ascii="Century Gothic" w:hAnsi="Century Gothic" w:cs="Arial"/>
                <w:b/>
                <w:bCs/>
              </w:rPr>
            </w:pPr>
          </w:p>
          <w:p w14:paraId="58E3A730" w14:textId="77777777" w:rsidR="00806566" w:rsidRPr="00D61E32" w:rsidRDefault="00806566">
            <w:pPr>
              <w:rPr>
                <w:rFonts w:ascii="Century Gothic" w:hAnsi="Century Gothic" w:cs="Arial"/>
                <w:b/>
                <w:bCs/>
              </w:rPr>
            </w:pPr>
          </w:p>
          <w:p w14:paraId="3091BC32" w14:textId="77777777" w:rsidR="00806566" w:rsidRPr="00D61E32" w:rsidRDefault="00806566">
            <w:pPr>
              <w:rPr>
                <w:rFonts w:ascii="Century Gothic" w:hAnsi="Century Gothic" w:cs="Arial"/>
                <w:b/>
                <w:bCs/>
              </w:rPr>
            </w:pPr>
          </w:p>
          <w:p w14:paraId="61EDA93F" w14:textId="77777777" w:rsidR="00806566" w:rsidRPr="00D61E32" w:rsidRDefault="00806566">
            <w:pPr>
              <w:rPr>
                <w:rFonts w:ascii="Century Gothic" w:hAnsi="Century Gothic" w:cs="Arial"/>
                <w:b/>
                <w:bCs/>
              </w:rPr>
            </w:pPr>
          </w:p>
          <w:p w14:paraId="7582C2FB" w14:textId="77777777" w:rsidR="00806566" w:rsidRPr="00D61E32" w:rsidRDefault="00806566">
            <w:pPr>
              <w:rPr>
                <w:rFonts w:ascii="Century Gothic" w:hAnsi="Century Gothic" w:cs="Arial"/>
                <w:b/>
                <w:bCs/>
              </w:rPr>
            </w:pPr>
          </w:p>
          <w:p w14:paraId="347F0302" w14:textId="77777777" w:rsidR="00806566" w:rsidRPr="00D61E32" w:rsidRDefault="00806566">
            <w:pPr>
              <w:rPr>
                <w:rFonts w:ascii="Century Gothic" w:hAnsi="Century Gothic" w:cs="Arial"/>
                <w:b/>
                <w:bCs/>
              </w:rPr>
            </w:pPr>
          </w:p>
          <w:p w14:paraId="07A325E4" w14:textId="77777777" w:rsidR="00806566" w:rsidRPr="00D61E32" w:rsidRDefault="00806566">
            <w:pPr>
              <w:rPr>
                <w:rFonts w:ascii="Century Gothic" w:hAnsi="Century Gothic" w:cs="Arial"/>
                <w:b/>
                <w:bCs/>
              </w:rPr>
            </w:pPr>
          </w:p>
          <w:p w14:paraId="18F15E38" w14:textId="77777777" w:rsidR="00806566" w:rsidRPr="00D61E32" w:rsidRDefault="00806566">
            <w:pPr>
              <w:rPr>
                <w:rFonts w:ascii="Century Gothic" w:hAnsi="Century Gothic" w:cs="Arial"/>
                <w:b/>
                <w:bCs/>
              </w:rPr>
            </w:pPr>
          </w:p>
          <w:p w14:paraId="7EB83B45" w14:textId="77777777" w:rsidR="00806566" w:rsidRPr="00D61E32" w:rsidRDefault="00806566">
            <w:pPr>
              <w:rPr>
                <w:rFonts w:ascii="Century Gothic" w:hAnsi="Century Gothic" w:cs="Arial"/>
                <w:b/>
                <w:bCs/>
              </w:rPr>
            </w:pPr>
          </w:p>
          <w:p w14:paraId="7CC6B75B" w14:textId="77777777" w:rsidR="00806566" w:rsidRPr="00D61E32" w:rsidRDefault="00806566">
            <w:pPr>
              <w:rPr>
                <w:rFonts w:ascii="Century Gothic" w:hAnsi="Century Gothic" w:cs="Arial"/>
                <w:b/>
                <w:bCs/>
              </w:rPr>
            </w:pPr>
          </w:p>
          <w:p w14:paraId="6E751079" w14:textId="77777777" w:rsidR="00806566" w:rsidRPr="00D61E32" w:rsidRDefault="00806566">
            <w:pPr>
              <w:rPr>
                <w:rFonts w:ascii="Century Gothic" w:hAnsi="Century Gothic" w:cs="Arial"/>
                <w:b/>
                <w:bCs/>
              </w:rPr>
            </w:pPr>
          </w:p>
          <w:p w14:paraId="1C05D9E3" w14:textId="77777777" w:rsidR="00806566" w:rsidRPr="00D61E32" w:rsidRDefault="00806566">
            <w:pPr>
              <w:rPr>
                <w:rFonts w:ascii="Century Gothic" w:hAnsi="Century Gothic" w:cs="Arial"/>
                <w:b/>
                <w:bCs/>
              </w:rPr>
            </w:pPr>
          </w:p>
          <w:p w14:paraId="27848A8B" w14:textId="77777777" w:rsidR="00806566" w:rsidRPr="00D61E32" w:rsidRDefault="00806566">
            <w:pPr>
              <w:rPr>
                <w:rFonts w:ascii="Century Gothic" w:hAnsi="Century Gothic" w:cs="Arial"/>
                <w:b/>
                <w:bCs/>
              </w:rPr>
            </w:pPr>
          </w:p>
          <w:p w14:paraId="22C3CF5D" w14:textId="77777777" w:rsidR="00806566" w:rsidRPr="00D61E32" w:rsidRDefault="00806566">
            <w:pPr>
              <w:rPr>
                <w:rFonts w:ascii="Century Gothic" w:hAnsi="Century Gothic" w:cs="Arial"/>
                <w:b/>
                <w:bCs/>
              </w:rPr>
            </w:pPr>
          </w:p>
          <w:p w14:paraId="4CF6E698" w14:textId="77777777" w:rsidR="00806566" w:rsidRPr="00D61E32" w:rsidRDefault="00806566">
            <w:pPr>
              <w:rPr>
                <w:rFonts w:ascii="Century Gothic" w:hAnsi="Century Gothic" w:cs="Arial"/>
                <w:b/>
                <w:bCs/>
              </w:rPr>
            </w:pPr>
          </w:p>
          <w:p w14:paraId="36F93DD2" w14:textId="77777777" w:rsidR="00806566" w:rsidRPr="00D61E32" w:rsidRDefault="00806566">
            <w:pPr>
              <w:rPr>
                <w:rFonts w:ascii="Century Gothic" w:hAnsi="Century Gothic" w:cs="Arial"/>
                <w:b/>
                <w:bCs/>
              </w:rPr>
            </w:pPr>
          </w:p>
          <w:p w14:paraId="12C56AA6" w14:textId="77777777" w:rsidR="00806566" w:rsidRPr="00D61E32" w:rsidRDefault="00806566">
            <w:pPr>
              <w:rPr>
                <w:rFonts w:ascii="Century Gothic" w:hAnsi="Century Gothic" w:cs="Arial"/>
                <w:b/>
                <w:bCs/>
              </w:rPr>
            </w:pPr>
          </w:p>
          <w:p w14:paraId="3A990F1D" w14:textId="77777777" w:rsidR="00806566" w:rsidRPr="00D61E32" w:rsidRDefault="00806566">
            <w:pPr>
              <w:rPr>
                <w:rFonts w:ascii="Century Gothic" w:hAnsi="Century Gothic" w:cs="Arial"/>
                <w:b/>
                <w:bCs/>
              </w:rPr>
            </w:pPr>
          </w:p>
          <w:p w14:paraId="1CE596D7" w14:textId="77777777" w:rsidR="00806566" w:rsidRPr="00D61E32" w:rsidRDefault="00806566">
            <w:pPr>
              <w:rPr>
                <w:rFonts w:ascii="Century Gothic" w:hAnsi="Century Gothic" w:cs="Arial"/>
                <w:b/>
                <w:bCs/>
              </w:rPr>
            </w:pPr>
          </w:p>
          <w:p w14:paraId="2ED87EA3" w14:textId="77777777" w:rsidR="00806566" w:rsidRPr="00D61E32" w:rsidRDefault="00806566">
            <w:pPr>
              <w:rPr>
                <w:rFonts w:ascii="Century Gothic" w:hAnsi="Century Gothic" w:cs="Arial"/>
                <w:b/>
                <w:bCs/>
              </w:rPr>
            </w:pPr>
          </w:p>
          <w:p w14:paraId="427F0676" w14:textId="77777777" w:rsidR="00806566" w:rsidRPr="00D61E32" w:rsidRDefault="00806566">
            <w:pPr>
              <w:rPr>
                <w:rFonts w:ascii="Century Gothic" w:hAnsi="Century Gothic" w:cs="Arial"/>
                <w:b/>
                <w:bCs/>
              </w:rPr>
            </w:pPr>
          </w:p>
          <w:p w14:paraId="1E27AF24" w14:textId="77777777" w:rsidR="00806566" w:rsidRPr="00D61E32" w:rsidRDefault="00806566">
            <w:pPr>
              <w:rPr>
                <w:rFonts w:ascii="Century Gothic" w:hAnsi="Century Gothic" w:cs="Arial"/>
                <w:b/>
                <w:bCs/>
              </w:rPr>
            </w:pPr>
          </w:p>
          <w:p w14:paraId="7376BC7C" w14:textId="77777777" w:rsidR="00806566" w:rsidRPr="00D61E32" w:rsidRDefault="00806566">
            <w:pPr>
              <w:rPr>
                <w:rFonts w:ascii="Century Gothic" w:hAnsi="Century Gothic" w:cs="Arial"/>
                <w:b/>
                <w:bCs/>
              </w:rPr>
            </w:pPr>
          </w:p>
          <w:p w14:paraId="2D29DB08" w14:textId="77777777" w:rsidR="00806566" w:rsidRPr="00D61E32" w:rsidRDefault="00806566">
            <w:pPr>
              <w:rPr>
                <w:rFonts w:ascii="Century Gothic" w:hAnsi="Century Gothic" w:cs="Arial"/>
                <w:b/>
                <w:bCs/>
              </w:rPr>
            </w:pPr>
          </w:p>
          <w:p w14:paraId="39C490A8" w14:textId="77777777" w:rsidR="00806566" w:rsidRPr="00D61E32" w:rsidRDefault="00806566">
            <w:pPr>
              <w:rPr>
                <w:rFonts w:ascii="Century Gothic" w:hAnsi="Century Gothic" w:cs="Arial"/>
                <w:b/>
                <w:bCs/>
              </w:rPr>
            </w:pPr>
          </w:p>
          <w:p w14:paraId="44EE5333" w14:textId="77777777" w:rsidR="00806566" w:rsidRPr="00D61E32" w:rsidRDefault="00806566">
            <w:pPr>
              <w:rPr>
                <w:rFonts w:ascii="Century Gothic" w:hAnsi="Century Gothic" w:cs="Arial"/>
                <w:b/>
                <w:bCs/>
              </w:rPr>
            </w:pPr>
          </w:p>
          <w:p w14:paraId="05FAA106" w14:textId="77777777" w:rsidR="00806566" w:rsidRPr="00D61E32" w:rsidRDefault="00806566">
            <w:pPr>
              <w:rPr>
                <w:rFonts w:ascii="Century Gothic" w:hAnsi="Century Gothic" w:cs="Arial"/>
                <w:b/>
                <w:bCs/>
              </w:rPr>
            </w:pPr>
          </w:p>
          <w:p w14:paraId="7B002051" w14:textId="77777777" w:rsidR="00806566" w:rsidRPr="00D61E32" w:rsidRDefault="00806566">
            <w:pPr>
              <w:rPr>
                <w:rFonts w:ascii="Century Gothic" w:hAnsi="Century Gothic" w:cs="Arial"/>
                <w:b/>
                <w:bCs/>
              </w:rPr>
            </w:pPr>
          </w:p>
          <w:p w14:paraId="4EE4CC05" w14:textId="77777777" w:rsidR="00806566" w:rsidRPr="00D61E32" w:rsidRDefault="00806566">
            <w:pPr>
              <w:rPr>
                <w:rFonts w:ascii="Century Gothic" w:hAnsi="Century Gothic" w:cs="Arial"/>
                <w:b/>
                <w:bCs/>
              </w:rPr>
            </w:pPr>
          </w:p>
          <w:p w14:paraId="3A73BAC0" w14:textId="77777777" w:rsidR="00806566" w:rsidRPr="00D61E32" w:rsidRDefault="00806566">
            <w:pPr>
              <w:rPr>
                <w:rFonts w:ascii="Century Gothic" w:hAnsi="Century Gothic" w:cs="Arial"/>
                <w:b/>
                <w:bCs/>
              </w:rPr>
            </w:pPr>
          </w:p>
          <w:p w14:paraId="04D036EA" w14:textId="77777777" w:rsidR="00806566" w:rsidRPr="00D61E32" w:rsidRDefault="00806566">
            <w:pPr>
              <w:rPr>
                <w:rFonts w:ascii="Century Gothic" w:hAnsi="Century Gothic" w:cs="Arial"/>
                <w:b/>
                <w:bCs/>
              </w:rPr>
            </w:pPr>
          </w:p>
          <w:p w14:paraId="42D75658" w14:textId="77777777" w:rsidR="00806566" w:rsidRPr="00D61E32" w:rsidRDefault="00806566">
            <w:pPr>
              <w:rPr>
                <w:rFonts w:ascii="Century Gothic" w:hAnsi="Century Gothic" w:cs="Arial"/>
                <w:b/>
                <w:bCs/>
              </w:rPr>
            </w:pPr>
          </w:p>
          <w:p w14:paraId="5A1855AB" w14:textId="77777777" w:rsidR="00806566" w:rsidRPr="00D61E32" w:rsidRDefault="00806566">
            <w:pPr>
              <w:rPr>
                <w:rFonts w:ascii="Century Gothic" w:hAnsi="Century Gothic" w:cs="Arial"/>
                <w:b/>
                <w:bCs/>
              </w:rPr>
            </w:pPr>
          </w:p>
          <w:p w14:paraId="729B69F1" w14:textId="77777777" w:rsidR="00806566" w:rsidRPr="00D61E32" w:rsidRDefault="00806566">
            <w:pPr>
              <w:rPr>
                <w:rFonts w:ascii="Century Gothic" w:hAnsi="Century Gothic" w:cs="Arial"/>
                <w:b/>
                <w:bCs/>
              </w:rPr>
            </w:pPr>
          </w:p>
          <w:p w14:paraId="4F3C472C" w14:textId="77777777" w:rsidR="00806566" w:rsidRPr="00D61E32" w:rsidRDefault="00806566">
            <w:pPr>
              <w:rPr>
                <w:rFonts w:ascii="Century Gothic" w:hAnsi="Century Gothic" w:cs="Arial"/>
                <w:b/>
                <w:bCs/>
              </w:rPr>
            </w:pPr>
          </w:p>
          <w:p w14:paraId="5683504E" w14:textId="77777777" w:rsidR="00806566" w:rsidRPr="00D61E32" w:rsidRDefault="00806566">
            <w:pPr>
              <w:rPr>
                <w:rFonts w:ascii="Century Gothic" w:hAnsi="Century Gothic" w:cs="Arial"/>
                <w:b/>
                <w:bCs/>
              </w:rPr>
            </w:pPr>
          </w:p>
          <w:p w14:paraId="06AC9AB4" w14:textId="77777777" w:rsidR="00806566" w:rsidRPr="00D61E32" w:rsidRDefault="00806566">
            <w:pPr>
              <w:rPr>
                <w:rFonts w:ascii="Century Gothic" w:hAnsi="Century Gothic" w:cs="Arial"/>
                <w:b/>
                <w:bCs/>
              </w:rPr>
            </w:pPr>
          </w:p>
          <w:p w14:paraId="26B7A11E" w14:textId="77777777" w:rsidR="00806566" w:rsidRPr="00D61E32" w:rsidRDefault="00806566">
            <w:pPr>
              <w:rPr>
                <w:rFonts w:ascii="Century Gothic" w:hAnsi="Century Gothic" w:cs="Arial"/>
                <w:b/>
                <w:bCs/>
              </w:rPr>
            </w:pPr>
          </w:p>
          <w:p w14:paraId="6DACB870" w14:textId="77777777" w:rsidR="00806566" w:rsidRPr="00D61E32" w:rsidRDefault="00806566">
            <w:pPr>
              <w:rPr>
                <w:rFonts w:ascii="Century Gothic" w:hAnsi="Century Gothic" w:cs="Arial"/>
                <w:b/>
                <w:bCs/>
              </w:rPr>
            </w:pPr>
          </w:p>
          <w:p w14:paraId="162C97E7" w14:textId="77777777" w:rsidR="00806566" w:rsidRPr="00D61E32" w:rsidRDefault="00806566">
            <w:pPr>
              <w:rPr>
                <w:rFonts w:ascii="Century Gothic" w:hAnsi="Century Gothic" w:cs="Arial"/>
                <w:b/>
                <w:bCs/>
              </w:rPr>
            </w:pPr>
          </w:p>
          <w:p w14:paraId="47CC2C18" w14:textId="77777777" w:rsidR="00806566" w:rsidRPr="00D61E32" w:rsidRDefault="00806566">
            <w:pPr>
              <w:rPr>
                <w:rFonts w:ascii="Century Gothic" w:hAnsi="Century Gothic" w:cs="Arial"/>
                <w:b/>
                <w:bCs/>
              </w:rPr>
            </w:pPr>
          </w:p>
          <w:p w14:paraId="7EC470E1" w14:textId="77777777" w:rsidR="00806566" w:rsidRPr="00D61E32" w:rsidRDefault="00806566">
            <w:pPr>
              <w:rPr>
                <w:rFonts w:ascii="Century Gothic" w:hAnsi="Century Gothic" w:cs="Arial"/>
                <w:b/>
                <w:bCs/>
              </w:rPr>
            </w:pPr>
          </w:p>
          <w:p w14:paraId="512B519C" w14:textId="77777777" w:rsidR="00806566" w:rsidRPr="00D61E32" w:rsidRDefault="00806566">
            <w:pPr>
              <w:rPr>
                <w:rFonts w:ascii="Century Gothic" w:hAnsi="Century Gothic" w:cs="Arial"/>
                <w:b/>
                <w:bCs/>
              </w:rPr>
            </w:pPr>
          </w:p>
          <w:p w14:paraId="05E6C0D7" w14:textId="77777777" w:rsidR="00806566" w:rsidRPr="00D61E32" w:rsidRDefault="00806566">
            <w:pPr>
              <w:rPr>
                <w:rFonts w:ascii="Century Gothic" w:hAnsi="Century Gothic" w:cs="Arial"/>
                <w:b/>
                <w:bCs/>
              </w:rPr>
            </w:pPr>
          </w:p>
          <w:p w14:paraId="0080B28E" w14:textId="77777777" w:rsidR="00806566" w:rsidRPr="00D61E32" w:rsidRDefault="00806566">
            <w:pPr>
              <w:rPr>
                <w:rFonts w:ascii="Century Gothic" w:hAnsi="Century Gothic" w:cs="Arial"/>
                <w:b/>
                <w:bCs/>
              </w:rPr>
            </w:pPr>
          </w:p>
          <w:p w14:paraId="644E98C6" w14:textId="77777777" w:rsidR="00806566" w:rsidRPr="00D61E32" w:rsidRDefault="00806566">
            <w:pPr>
              <w:rPr>
                <w:rFonts w:ascii="Century Gothic" w:hAnsi="Century Gothic" w:cs="Arial"/>
                <w:b/>
                <w:bCs/>
              </w:rPr>
            </w:pPr>
          </w:p>
          <w:p w14:paraId="3647BDB2" w14:textId="77777777" w:rsidR="00806566" w:rsidRPr="00D61E32" w:rsidRDefault="00806566">
            <w:pPr>
              <w:rPr>
                <w:rFonts w:ascii="Century Gothic" w:hAnsi="Century Gothic" w:cs="Arial"/>
                <w:b/>
                <w:bCs/>
              </w:rPr>
            </w:pPr>
          </w:p>
          <w:p w14:paraId="79452BD4" w14:textId="77777777" w:rsidR="00806566" w:rsidRPr="00D61E32" w:rsidRDefault="00806566">
            <w:pPr>
              <w:rPr>
                <w:rFonts w:ascii="Century Gothic" w:hAnsi="Century Gothic" w:cs="Arial"/>
                <w:b/>
                <w:bCs/>
              </w:rPr>
            </w:pPr>
          </w:p>
          <w:p w14:paraId="6DAF5FDF" w14:textId="77777777" w:rsidR="00806566" w:rsidRPr="00D61E32" w:rsidRDefault="00806566">
            <w:pPr>
              <w:rPr>
                <w:rFonts w:ascii="Century Gothic" w:hAnsi="Century Gothic" w:cs="Arial"/>
                <w:b/>
                <w:bCs/>
              </w:rPr>
            </w:pPr>
          </w:p>
          <w:p w14:paraId="7BFDD197" w14:textId="77777777" w:rsidR="00806566" w:rsidRPr="00D61E32" w:rsidRDefault="00806566">
            <w:pPr>
              <w:rPr>
                <w:rFonts w:ascii="Century Gothic" w:hAnsi="Century Gothic" w:cs="Arial"/>
                <w:b/>
                <w:bCs/>
              </w:rPr>
            </w:pPr>
          </w:p>
          <w:p w14:paraId="34A801D2" w14:textId="77777777" w:rsidR="00080A54" w:rsidRPr="00D61E32" w:rsidRDefault="00080A54">
            <w:pPr>
              <w:rPr>
                <w:rFonts w:ascii="Century Gothic" w:hAnsi="Century Gothic" w:cs="Arial"/>
                <w:b/>
                <w:bCs/>
              </w:rPr>
            </w:pPr>
          </w:p>
          <w:p w14:paraId="2ED20D17" w14:textId="77777777" w:rsidR="00080A54" w:rsidRPr="00D61E32" w:rsidRDefault="00080A54">
            <w:pPr>
              <w:rPr>
                <w:rFonts w:ascii="Century Gothic" w:hAnsi="Century Gothic" w:cs="Arial"/>
                <w:b/>
                <w:bCs/>
              </w:rPr>
            </w:pPr>
          </w:p>
          <w:p w14:paraId="65069E3F" w14:textId="77777777" w:rsidR="00080A54" w:rsidRPr="00D61E32" w:rsidRDefault="00080A54">
            <w:pPr>
              <w:rPr>
                <w:rFonts w:ascii="Century Gothic" w:hAnsi="Century Gothic" w:cs="Arial"/>
                <w:b/>
                <w:bCs/>
              </w:rPr>
            </w:pPr>
          </w:p>
          <w:p w14:paraId="5CE9A9A1" w14:textId="77777777" w:rsidR="00080A54" w:rsidRPr="00D61E32" w:rsidRDefault="00080A54">
            <w:pPr>
              <w:rPr>
                <w:rFonts w:ascii="Century Gothic" w:hAnsi="Century Gothic" w:cs="Arial"/>
                <w:b/>
                <w:bCs/>
              </w:rPr>
            </w:pPr>
          </w:p>
          <w:p w14:paraId="0573B66D" w14:textId="77777777" w:rsidR="00080A54" w:rsidRPr="00D61E32" w:rsidRDefault="00080A54">
            <w:pPr>
              <w:rPr>
                <w:rFonts w:ascii="Century Gothic" w:hAnsi="Century Gothic" w:cs="Arial"/>
                <w:b/>
                <w:bCs/>
              </w:rPr>
            </w:pPr>
          </w:p>
          <w:p w14:paraId="44158AF8" w14:textId="77777777" w:rsidR="00080A54" w:rsidRPr="00D61E32" w:rsidRDefault="00080A54">
            <w:pPr>
              <w:rPr>
                <w:rFonts w:ascii="Century Gothic" w:hAnsi="Century Gothic" w:cs="Arial"/>
                <w:b/>
                <w:bCs/>
              </w:rPr>
            </w:pPr>
          </w:p>
          <w:p w14:paraId="3BA18799" w14:textId="77777777" w:rsidR="00080A54" w:rsidRPr="00D61E32" w:rsidRDefault="00080A54">
            <w:pPr>
              <w:rPr>
                <w:rFonts w:ascii="Century Gothic" w:hAnsi="Century Gothic" w:cs="Arial"/>
                <w:b/>
                <w:bCs/>
              </w:rPr>
            </w:pPr>
          </w:p>
          <w:p w14:paraId="12BF83ED" w14:textId="77777777" w:rsidR="00080A54" w:rsidRPr="00D61E32" w:rsidRDefault="00080A54">
            <w:pPr>
              <w:rPr>
                <w:rFonts w:ascii="Century Gothic" w:hAnsi="Century Gothic" w:cs="Arial"/>
                <w:b/>
                <w:bCs/>
              </w:rPr>
            </w:pPr>
          </w:p>
          <w:p w14:paraId="7DF9A2A8" w14:textId="77777777" w:rsidR="00080A54" w:rsidRPr="00D61E32" w:rsidRDefault="00080A54">
            <w:pPr>
              <w:rPr>
                <w:rFonts w:ascii="Century Gothic" w:hAnsi="Century Gothic" w:cs="Arial"/>
                <w:b/>
                <w:bCs/>
              </w:rPr>
            </w:pPr>
          </w:p>
          <w:p w14:paraId="345F3003" w14:textId="77777777" w:rsidR="00080A54" w:rsidRPr="00D61E32" w:rsidRDefault="00080A54">
            <w:pPr>
              <w:rPr>
                <w:rFonts w:ascii="Century Gothic" w:hAnsi="Century Gothic" w:cs="Arial"/>
                <w:b/>
                <w:bCs/>
              </w:rPr>
            </w:pPr>
          </w:p>
          <w:p w14:paraId="1D7F87E0" w14:textId="77777777" w:rsidR="00080A54" w:rsidRPr="00D61E32" w:rsidRDefault="00080A54">
            <w:pPr>
              <w:rPr>
                <w:rFonts w:ascii="Century Gothic" w:hAnsi="Century Gothic" w:cs="Arial"/>
                <w:b/>
                <w:bCs/>
              </w:rPr>
            </w:pPr>
          </w:p>
          <w:p w14:paraId="66527CA7" w14:textId="77777777" w:rsidR="00080A54" w:rsidRPr="00D61E32" w:rsidRDefault="00080A54">
            <w:pPr>
              <w:rPr>
                <w:rFonts w:ascii="Century Gothic" w:hAnsi="Century Gothic" w:cs="Arial"/>
                <w:b/>
                <w:bCs/>
              </w:rPr>
            </w:pPr>
          </w:p>
          <w:p w14:paraId="5A072B27" w14:textId="77777777" w:rsidR="00080A54" w:rsidRPr="00D61E32" w:rsidRDefault="00080A54">
            <w:pPr>
              <w:rPr>
                <w:rFonts w:ascii="Century Gothic" w:hAnsi="Century Gothic" w:cs="Arial"/>
                <w:b/>
                <w:bCs/>
              </w:rPr>
            </w:pPr>
          </w:p>
          <w:p w14:paraId="484178C6" w14:textId="77777777" w:rsidR="00080A54" w:rsidRPr="00D61E32" w:rsidRDefault="00080A54">
            <w:pPr>
              <w:rPr>
                <w:rFonts w:ascii="Century Gothic" w:hAnsi="Century Gothic" w:cs="Arial"/>
                <w:b/>
                <w:bCs/>
              </w:rPr>
            </w:pPr>
          </w:p>
          <w:p w14:paraId="65567DD6" w14:textId="77777777" w:rsidR="00080A54" w:rsidRPr="00D61E32" w:rsidRDefault="00080A54">
            <w:pPr>
              <w:rPr>
                <w:rFonts w:ascii="Century Gothic" w:hAnsi="Century Gothic" w:cs="Arial"/>
                <w:b/>
                <w:bCs/>
              </w:rPr>
            </w:pPr>
          </w:p>
          <w:p w14:paraId="55E90E62" w14:textId="77777777" w:rsidR="00080A54" w:rsidRPr="00D61E32" w:rsidRDefault="00080A54">
            <w:pPr>
              <w:rPr>
                <w:rFonts w:ascii="Century Gothic" w:hAnsi="Century Gothic" w:cs="Arial"/>
                <w:b/>
                <w:bCs/>
              </w:rPr>
            </w:pPr>
          </w:p>
          <w:p w14:paraId="0102B580" w14:textId="77777777" w:rsidR="00080A54" w:rsidRPr="00D61E32" w:rsidRDefault="00080A54">
            <w:pPr>
              <w:rPr>
                <w:rFonts w:ascii="Century Gothic" w:hAnsi="Century Gothic" w:cs="Arial"/>
                <w:b/>
                <w:bCs/>
              </w:rPr>
            </w:pPr>
          </w:p>
          <w:p w14:paraId="07EB171E" w14:textId="77777777" w:rsidR="00080A54" w:rsidRPr="00D61E32" w:rsidRDefault="00080A54">
            <w:pPr>
              <w:rPr>
                <w:rFonts w:ascii="Century Gothic" w:hAnsi="Century Gothic" w:cs="Arial"/>
                <w:b/>
                <w:bCs/>
              </w:rPr>
            </w:pPr>
          </w:p>
          <w:p w14:paraId="6D621889" w14:textId="77777777" w:rsidR="00080A54" w:rsidRPr="00D61E32" w:rsidRDefault="00080A54">
            <w:pPr>
              <w:rPr>
                <w:rFonts w:ascii="Century Gothic" w:hAnsi="Century Gothic" w:cs="Arial"/>
                <w:b/>
                <w:bCs/>
              </w:rPr>
            </w:pPr>
          </w:p>
          <w:p w14:paraId="26D65D3E" w14:textId="77777777" w:rsidR="00080A54" w:rsidRPr="00D61E32" w:rsidRDefault="00080A54">
            <w:pPr>
              <w:rPr>
                <w:rFonts w:ascii="Century Gothic" w:hAnsi="Century Gothic" w:cs="Arial"/>
                <w:b/>
                <w:bCs/>
              </w:rPr>
            </w:pPr>
          </w:p>
          <w:p w14:paraId="5C371FD5" w14:textId="77777777" w:rsidR="00080A54" w:rsidRPr="00D61E32" w:rsidRDefault="00080A54">
            <w:pPr>
              <w:rPr>
                <w:rFonts w:ascii="Century Gothic" w:hAnsi="Century Gothic" w:cs="Arial"/>
                <w:b/>
                <w:bCs/>
              </w:rPr>
            </w:pPr>
          </w:p>
          <w:p w14:paraId="59F1FBD1" w14:textId="77777777" w:rsidR="00080A54" w:rsidRPr="00D61E32" w:rsidRDefault="00080A54">
            <w:pPr>
              <w:rPr>
                <w:rFonts w:ascii="Century Gothic" w:hAnsi="Century Gothic" w:cs="Arial"/>
                <w:b/>
                <w:bCs/>
              </w:rPr>
            </w:pPr>
          </w:p>
          <w:p w14:paraId="521D2C1A" w14:textId="77777777" w:rsidR="00080A54" w:rsidRPr="00D61E32" w:rsidRDefault="00080A54">
            <w:pPr>
              <w:rPr>
                <w:rFonts w:ascii="Century Gothic" w:hAnsi="Century Gothic" w:cs="Arial"/>
                <w:b/>
                <w:bCs/>
              </w:rPr>
            </w:pPr>
          </w:p>
          <w:p w14:paraId="42DC51D7" w14:textId="77777777" w:rsidR="00080A54" w:rsidRPr="00D61E32" w:rsidRDefault="00080A54">
            <w:pPr>
              <w:rPr>
                <w:rFonts w:ascii="Century Gothic" w:hAnsi="Century Gothic" w:cs="Arial"/>
                <w:b/>
                <w:bCs/>
              </w:rPr>
            </w:pPr>
          </w:p>
          <w:p w14:paraId="3E245B03" w14:textId="77777777" w:rsidR="00080A54" w:rsidRPr="00D61E32" w:rsidRDefault="00080A54">
            <w:pPr>
              <w:rPr>
                <w:rFonts w:ascii="Century Gothic" w:hAnsi="Century Gothic" w:cs="Arial"/>
                <w:b/>
                <w:bCs/>
              </w:rPr>
            </w:pPr>
          </w:p>
          <w:p w14:paraId="6F8EA50D" w14:textId="77777777" w:rsidR="00080A54" w:rsidRPr="00D61E32" w:rsidRDefault="00080A54">
            <w:pPr>
              <w:rPr>
                <w:rFonts w:ascii="Century Gothic" w:hAnsi="Century Gothic" w:cs="Arial"/>
                <w:b/>
                <w:bCs/>
              </w:rPr>
            </w:pPr>
          </w:p>
          <w:p w14:paraId="535E7721" w14:textId="77777777" w:rsidR="00806566" w:rsidRPr="00D61E32" w:rsidRDefault="00806566">
            <w:pPr>
              <w:rPr>
                <w:rFonts w:ascii="Century Gothic" w:hAnsi="Century Gothic" w:cs="Arial"/>
                <w:i/>
              </w:rPr>
            </w:pPr>
          </w:p>
          <w:p w14:paraId="6A0D0EC4" w14:textId="77777777" w:rsidR="00806566" w:rsidRPr="00D61E32" w:rsidRDefault="00806566">
            <w:pPr>
              <w:rPr>
                <w:rFonts w:ascii="Century Gothic" w:hAnsi="Century Gothic" w:cs="Arial"/>
              </w:rPr>
            </w:pPr>
            <w:r w:rsidRPr="00D61E32">
              <w:rPr>
                <w:rFonts w:ascii="Century Gothic" w:hAnsi="Century Gothic" w:cs="Arial"/>
                <w:i/>
              </w:rPr>
              <w:t>E. Minimum standards to issue a denial (e.g. sign-off from a physician with relevant board certification)</w:t>
            </w:r>
            <w:r w:rsidRPr="00D61E32">
              <w:rPr>
                <w:rFonts w:ascii="Century Gothic" w:hAnsi="Century Gothic" w:cs="Arial"/>
              </w:rPr>
              <w:t>:</w:t>
            </w:r>
          </w:p>
          <w:p w14:paraId="11FC76FB" w14:textId="77777777" w:rsidR="00806566" w:rsidRPr="00D61E32" w:rsidRDefault="00806566">
            <w:pPr>
              <w:rPr>
                <w:rFonts w:ascii="Century Gothic" w:hAnsi="Century Gothic" w:cs="Arial"/>
                <w:b/>
                <w:bCs/>
              </w:rPr>
            </w:pPr>
            <w:r w:rsidRPr="00D61E32">
              <w:rPr>
                <w:rFonts w:ascii="Century Gothic" w:hAnsi="Century Gothic" w:cs="Arial"/>
                <w:b/>
                <w:bCs/>
              </w:rPr>
              <w:t>Cigna</w:t>
            </w:r>
          </w:p>
          <w:p w14:paraId="0419333D" w14:textId="0F20963F" w:rsidR="00806566" w:rsidRPr="00D61E32" w:rsidRDefault="00806566">
            <w:pPr>
              <w:rPr>
                <w:rFonts w:ascii="Century Gothic" w:hAnsi="Century Gothic" w:cs="Arial"/>
              </w:rPr>
            </w:pPr>
            <w:r w:rsidRPr="00D61E32">
              <w:rPr>
                <w:rFonts w:ascii="Century Gothic" w:hAnsi="Century Gothic" w:cs="Arial"/>
              </w:rPr>
              <w:t xml:space="preserve">If the nurse reviewer/care manager assesses the enrollee does not appear to meet medical necessity criteria for the request, he/she refers the case to a peer reviewer (e.g. Medical Director) who conducts a peer-to-peer review with the treating provider. The peer reviewer reviews the clinical information and determines whether the enrollee meets medical necessity criteria for the request (i.e., peer reviewer may authorize or deny benefit authorization depending upon the information provided by the treating provider). See “Peer to Peer Review Variation” section for additional details and analysis related to Cigna’s peer-to-peer review process. </w:t>
            </w:r>
          </w:p>
          <w:p w14:paraId="0F608353" w14:textId="16E84368" w:rsidR="00806566" w:rsidRPr="00D61E32" w:rsidRDefault="00806566">
            <w:pPr>
              <w:rPr>
                <w:rFonts w:ascii="Century Gothic" w:hAnsi="Century Gothic" w:cs="Arial"/>
              </w:rPr>
            </w:pPr>
            <w:r w:rsidRPr="00D61E32">
              <w:rPr>
                <w:rFonts w:ascii="Century Gothic" w:hAnsi="Century Gothic" w:cs="Arial"/>
              </w:rPr>
              <w:t>Final adverse</w:t>
            </w:r>
            <w:r w:rsidRPr="00D61E32">
              <w:rPr>
                <w:rFonts w:ascii="Century Gothic" w:hAnsi="Century Gothic" w:cs="Arial"/>
                <w:lang w:val="x-none"/>
              </w:rPr>
              <w:t xml:space="preserve"> determinations of medical/surgical services and MH/SUD services are made in accordance with evidence-based treatment guidelines by physician peer reviewers licensed in the same or similar specialty area as the treating provider.</w:t>
            </w:r>
          </w:p>
        </w:tc>
      </w:tr>
      <w:tr w:rsidR="00806566" w:rsidRPr="00D61E32" w14:paraId="5B18ACCB" w14:textId="77777777" w:rsidTr="00CE4315">
        <w:trPr>
          <w:trHeight w:val="1430"/>
        </w:trPr>
        <w:tc>
          <w:tcPr>
            <w:tcW w:w="2500" w:type="pct"/>
            <w:tcBorders>
              <w:top w:val="single" w:sz="4" w:space="0" w:color="auto"/>
              <w:left w:val="single" w:sz="4" w:space="0" w:color="auto"/>
              <w:bottom w:val="single" w:sz="4" w:space="0" w:color="auto"/>
              <w:right w:val="single" w:sz="4" w:space="0" w:color="auto"/>
            </w:tcBorders>
          </w:tcPr>
          <w:p w14:paraId="29A73496" w14:textId="676EA08E" w:rsidR="00806566" w:rsidRPr="00E70A33" w:rsidRDefault="00806566">
            <w:pPr>
              <w:rPr>
                <w:rFonts w:ascii="Century Gothic" w:hAnsi="Century Gothic" w:cs="Arial"/>
                <w:b/>
                <w:i/>
              </w:rPr>
            </w:pPr>
            <w:bookmarkStart w:id="6" w:name="_Hlk153986306"/>
            <w:bookmarkStart w:id="7" w:name="OLE_LINK24" w:colFirst="1" w:colLast="2"/>
            <w:r w:rsidRPr="00D61E32">
              <w:rPr>
                <w:rFonts w:ascii="Century Gothic" w:hAnsi="Century Gothic" w:cs="Arial"/>
                <w:b/>
                <w:i/>
              </w:rPr>
              <w:t>Step 4(b): Identify and define the factors and processes that are used to monitor and evaluate the application of Prior Authorization for M/S benefits</w:t>
            </w:r>
            <w:r w:rsidRPr="00D61E32">
              <w:rPr>
                <w:rFonts w:ascii="Century Gothic" w:hAnsi="Century Gothic" w:cs="Arial"/>
              </w:rPr>
              <w:t>:</w:t>
            </w:r>
          </w:p>
          <w:p w14:paraId="259777A0" w14:textId="4C58C242" w:rsidR="00806566" w:rsidRPr="00E70A33" w:rsidRDefault="00806566">
            <w:pPr>
              <w:rPr>
                <w:rFonts w:ascii="Century Gothic" w:hAnsi="Century Gothic" w:cs="Arial"/>
                <w:b/>
                <w:bCs/>
              </w:rPr>
            </w:pPr>
            <w:bookmarkStart w:id="8" w:name="OLE_LINK10"/>
            <w:r w:rsidRPr="00D61E32">
              <w:rPr>
                <w:rFonts w:ascii="Century Gothic" w:hAnsi="Century Gothic" w:cs="Arial"/>
                <w:b/>
                <w:bCs/>
              </w:rPr>
              <w:t xml:space="preserve">2023 Data </w:t>
            </w:r>
            <w:r w:rsidRPr="00D61E32">
              <w:rPr>
                <w:rFonts w:ascii="Century Gothic" w:hAnsi="Century Gothic" w:cs="Arial"/>
              </w:rPr>
              <w:t xml:space="preserve">– </w:t>
            </w:r>
            <w:bookmarkStart w:id="9" w:name="OLE_LINK23" w:colFirst="0" w:colLast="0"/>
            <w:r w:rsidRPr="00D61E32">
              <w:rPr>
                <w:rFonts w:ascii="Century Gothic" w:hAnsi="Century Gothic" w:cs="Arial"/>
              </w:rPr>
              <w:t>Wellfleet delegates Utilization Management, including Prior Authorization, to Cigna.  The below data represents an analysis of prior authorization requests across Wellfleet’s Book of Business from January 1, 2023 – December 31, 2023.</w:t>
            </w:r>
            <w:r w:rsidRPr="00D61E32">
              <w:rPr>
                <w:rFonts w:ascii="Century Gothic" w:hAnsi="Century Gothic" w:cs="Arial"/>
                <w:b/>
                <w:bCs/>
              </w:rPr>
              <w:t xml:space="preserve"> </w:t>
            </w:r>
            <w:bookmarkEnd w:id="8"/>
          </w:p>
          <w:p w14:paraId="3ED4EF0C" w14:textId="77777777" w:rsidR="00806566" w:rsidRPr="00D61E32" w:rsidRDefault="00806566">
            <w:pPr>
              <w:rPr>
                <w:rFonts w:ascii="Century Gothic" w:hAnsi="Century Gothic" w:cs="Arial"/>
                <w:b/>
                <w:bCs/>
              </w:rPr>
            </w:pPr>
            <w:r w:rsidRPr="00D61E32">
              <w:rPr>
                <w:rFonts w:ascii="Century Gothic" w:hAnsi="Century Gothic" w:cs="Arial"/>
                <w:b/>
                <w:bCs/>
              </w:rPr>
              <w:t xml:space="preserve">Inpatient Prior Authorization Denial Rates </w:t>
            </w:r>
          </w:p>
          <w:tbl>
            <w:tblPr>
              <w:tblW w:w="5280" w:type="dxa"/>
              <w:tblLook w:val="04A0" w:firstRow="1" w:lastRow="0" w:firstColumn="1" w:lastColumn="0" w:noHBand="0" w:noVBand="1"/>
            </w:tblPr>
            <w:tblGrid>
              <w:gridCol w:w="1776"/>
              <w:gridCol w:w="1285"/>
              <w:gridCol w:w="1383"/>
            </w:tblGrid>
            <w:tr w:rsidR="00806566" w:rsidRPr="00D61E32" w14:paraId="2004844F" w14:textId="77777777">
              <w:trPr>
                <w:trHeight w:val="290"/>
              </w:trPr>
              <w:tc>
                <w:tcPr>
                  <w:tcW w:w="2120" w:type="dxa"/>
                  <w:tcBorders>
                    <w:top w:val="single" w:sz="4" w:space="0" w:color="auto"/>
                    <w:left w:val="single" w:sz="8" w:space="0" w:color="auto"/>
                    <w:bottom w:val="single" w:sz="4" w:space="0" w:color="auto"/>
                    <w:right w:val="single" w:sz="8" w:space="0" w:color="auto"/>
                  </w:tcBorders>
                  <w:shd w:val="clear" w:color="auto" w:fill="D9D9D9"/>
                  <w:noWrap/>
                  <w:vAlign w:val="bottom"/>
                  <w:hideMark/>
                </w:tcPr>
                <w:p w14:paraId="09E36280" w14:textId="77777777" w:rsidR="00806566" w:rsidRPr="00D61E32" w:rsidRDefault="00806566">
                  <w:pPr>
                    <w:rPr>
                      <w:rFonts w:ascii="Century Gothic" w:hAnsi="Century Gothic" w:cs="Calibri"/>
                      <w:b/>
                      <w:bCs/>
                      <w:color w:val="000000"/>
                    </w:rPr>
                  </w:pPr>
                  <w:r w:rsidRPr="00D61E32">
                    <w:rPr>
                      <w:rFonts w:ascii="Century Gothic" w:hAnsi="Century Gothic" w:cs="Calibri"/>
                      <w:b/>
                      <w:bCs/>
                      <w:color w:val="000000"/>
                    </w:rPr>
                    <w:t xml:space="preserve">NETWORK </w:t>
                  </w:r>
                </w:p>
              </w:tc>
              <w:tc>
                <w:tcPr>
                  <w:tcW w:w="1520" w:type="dxa"/>
                  <w:tcBorders>
                    <w:top w:val="single" w:sz="4" w:space="0" w:color="auto"/>
                    <w:left w:val="nil"/>
                    <w:bottom w:val="single" w:sz="4" w:space="0" w:color="auto"/>
                    <w:right w:val="single" w:sz="4" w:space="0" w:color="auto"/>
                  </w:tcBorders>
                  <w:shd w:val="clear" w:color="auto" w:fill="D9D9D9"/>
                  <w:noWrap/>
                  <w:vAlign w:val="bottom"/>
                  <w:hideMark/>
                </w:tcPr>
                <w:p w14:paraId="73467262"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INN</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14:paraId="709F080B"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OON</w:t>
                  </w:r>
                </w:p>
              </w:tc>
            </w:tr>
            <w:tr w:rsidR="00806566" w:rsidRPr="00D61E32" w14:paraId="59802ED4" w14:textId="77777777">
              <w:trPr>
                <w:trHeight w:val="300"/>
              </w:trPr>
              <w:tc>
                <w:tcPr>
                  <w:tcW w:w="2120" w:type="dxa"/>
                  <w:tcBorders>
                    <w:top w:val="nil"/>
                    <w:left w:val="single" w:sz="8" w:space="0" w:color="auto"/>
                    <w:bottom w:val="single" w:sz="8" w:space="0" w:color="auto"/>
                    <w:right w:val="single" w:sz="8" w:space="0" w:color="auto"/>
                  </w:tcBorders>
                  <w:shd w:val="clear" w:color="auto" w:fill="D9D9D9"/>
                  <w:noWrap/>
                  <w:vAlign w:val="bottom"/>
                  <w:hideMark/>
                </w:tcPr>
                <w:p w14:paraId="68549D58" w14:textId="77777777" w:rsidR="00806566" w:rsidRPr="00D61E32" w:rsidRDefault="00806566">
                  <w:pPr>
                    <w:rPr>
                      <w:rFonts w:ascii="Century Gothic" w:hAnsi="Century Gothic" w:cs="Calibri"/>
                      <w:b/>
                      <w:bCs/>
                      <w:color w:val="000000"/>
                    </w:rPr>
                  </w:pPr>
                  <w:r w:rsidRPr="00D61E32">
                    <w:rPr>
                      <w:rFonts w:ascii="Century Gothic" w:hAnsi="Century Gothic" w:cs="Calibri"/>
                      <w:b/>
                      <w:bCs/>
                      <w:color w:val="000000"/>
                    </w:rPr>
                    <w:t>Auth Type</w:t>
                  </w:r>
                </w:p>
              </w:tc>
              <w:tc>
                <w:tcPr>
                  <w:tcW w:w="1520" w:type="dxa"/>
                  <w:tcBorders>
                    <w:top w:val="nil"/>
                    <w:left w:val="nil"/>
                    <w:bottom w:val="single" w:sz="8" w:space="0" w:color="auto"/>
                    <w:right w:val="single" w:sz="4" w:space="0" w:color="auto"/>
                  </w:tcBorders>
                  <w:shd w:val="clear" w:color="auto" w:fill="D9D9D9"/>
                  <w:noWrap/>
                  <w:vAlign w:val="bottom"/>
                  <w:hideMark/>
                </w:tcPr>
                <w:p w14:paraId="11252039"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Precert</w:t>
                  </w:r>
                  <w:proofErr w:type="spellEnd"/>
                </w:p>
              </w:tc>
              <w:tc>
                <w:tcPr>
                  <w:tcW w:w="1640" w:type="dxa"/>
                  <w:tcBorders>
                    <w:top w:val="nil"/>
                    <w:left w:val="nil"/>
                    <w:bottom w:val="single" w:sz="8" w:space="0" w:color="auto"/>
                    <w:right w:val="single" w:sz="4" w:space="0" w:color="auto"/>
                  </w:tcBorders>
                  <w:shd w:val="clear" w:color="auto" w:fill="D9D9D9"/>
                  <w:noWrap/>
                  <w:vAlign w:val="bottom"/>
                  <w:hideMark/>
                </w:tcPr>
                <w:p w14:paraId="5851E9B8"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Precert</w:t>
                  </w:r>
                  <w:proofErr w:type="spellEnd"/>
                </w:p>
              </w:tc>
            </w:tr>
            <w:tr w:rsidR="00806566" w:rsidRPr="00D61E32" w14:paraId="40C76A1C" w14:textId="77777777">
              <w:trPr>
                <w:trHeight w:val="290"/>
              </w:trPr>
              <w:tc>
                <w:tcPr>
                  <w:tcW w:w="2120" w:type="dxa"/>
                  <w:tcBorders>
                    <w:top w:val="nil"/>
                    <w:left w:val="single" w:sz="8" w:space="0" w:color="auto"/>
                    <w:bottom w:val="single" w:sz="4" w:space="0" w:color="auto"/>
                    <w:right w:val="single" w:sz="8" w:space="0" w:color="auto"/>
                  </w:tcBorders>
                  <w:shd w:val="clear" w:color="auto" w:fill="757171"/>
                  <w:noWrap/>
                  <w:vAlign w:val="bottom"/>
                  <w:hideMark/>
                </w:tcPr>
                <w:p w14:paraId="259165F1" w14:textId="77777777" w:rsidR="00806566" w:rsidRPr="00D61E32" w:rsidRDefault="00806566">
                  <w:pPr>
                    <w:rPr>
                      <w:rFonts w:ascii="Century Gothic" w:hAnsi="Century Gothic" w:cs="Calibri"/>
                      <w:b/>
                      <w:bCs/>
                      <w:color w:val="000000"/>
                    </w:rPr>
                  </w:pPr>
                  <w:r w:rsidRPr="00D61E32">
                    <w:rPr>
                      <w:rFonts w:ascii="Century Gothic" w:hAnsi="Century Gothic" w:cs="Calibri"/>
                      <w:b/>
                      <w:bCs/>
                      <w:color w:val="000000"/>
                    </w:rPr>
                    <w:t xml:space="preserve">MED SURG </w:t>
                  </w:r>
                </w:p>
              </w:tc>
              <w:tc>
                <w:tcPr>
                  <w:tcW w:w="1520" w:type="dxa"/>
                  <w:tcBorders>
                    <w:top w:val="nil"/>
                    <w:left w:val="nil"/>
                    <w:bottom w:val="single" w:sz="4" w:space="0" w:color="auto"/>
                    <w:right w:val="single" w:sz="4" w:space="0" w:color="auto"/>
                  </w:tcBorders>
                  <w:shd w:val="clear" w:color="auto" w:fill="757171"/>
                  <w:noWrap/>
                  <w:vAlign w:val="bottom"/>
                  <w:hideMark/>
                </w:tcPr>
                <w:p w14:paraId="560089BE"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64</w:t>
                  </w:r>
                </w:p>
              </w:tc>
              <w:tc>
                <w:tcPr>
                  <w:tcW w:w="1640" w:type="dxa"/>
                  <w:tcBorders>
                    <w:top w:val="nil"/>
                    <w:left w:val="nil"/>
                    <w:bottom w:val="single" w:sz="4" w:space="0" w:color="auto"/>
                    <w:right w:val="single" w:sz="4" w:space="0" w:color="auto"/>
                  </w:tcBorders>
                  <w:shd w:val="clear" w:color="auto" w:fill="757171"/>
                  <w:noWrap/>
                  <w:vAlign w:val="bottom"/>
                  <w:hideMark/>
                </w:tcPr>
                <w:p w14:paraId="6DB12AE4"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3</w:t>
                  </w:r>
                </w:p>
              </w:tc>
            </w:tr>
            <w:tr w:rsidR="00806566" w:rsidRPr="00D61E32" w14:paraId="2281BAD7" w14:textId="77777777">
              <w:trPr>
                <w:trHeight w:val="290"/>
              </w:trPr>
              <w:tc>
                <w:tcPr>
                  <w:tcW w:w="2120" w:type="dxa"/>
                  <w:tcBorders>
                    <w:top w:val="nil"/>
                    <w:left w:val="single" w:sz="8" w:space="0" w:color="auto"/>
                    <w:bottom w:val="single" w:sz="4" w:space="0" w:color="auto"/>
                    <w:right w:val="single" w:sz="8" w:space="0" w:color="auto"/>
                  </w:tcBorders>
                  <w:noWrap/>
                  <w:vAlign w:val="bottom"/>
                  <w:hideMark/>
                </w:tcPr>
                <w:p w14:paraId="3D3E829F" w14:textId="77777777" w:rsidR="00806566" w:rsidRPr="00D61E32" w:rsidRDefault="00806566">
                  <w:pPr>
                    <w:rPr>
                      <w:rFonts w:ascii="Century Gothic" w:hAnsi="Century Gothic" w:cs="Calibri"/>
                      <w:b/>
                      <w:bCs/>
                      <w:color w:val="000000"/>
                    </w:rPr>
                  </w:pPr>
                  <w:r w:rsidRPr="00D61E32">
                    <w:rPr>
                      <w:rFonts w:ascii="Century Gothic" w:hAnsi="Century Gothic" w:cs="Calibri"/>
                      <w:b/>
                      <w:bCs/>
                      <w:color w:val="000000"/>
                    </w:rPr>
                    <w:t>Approvals</w:t>
                  </w:r>
                </w:p>
              </w:tc>
              <w:tc>
                <w:tcPr>
                  <w:tcW w:w="1520" w:type="dxa"/>
                  <w:tcBorders>
                    <w:top w:val="nil"/>
                    <w:left w:val="nil"/>
                    <w:bottom w:val="single" w:sz="4" w:space="0" w:color="auto"/>
                    <w:right w:val="single" w:sz="4" w:space="0" w:color="auto"/>
                  </w:tcBorders>
                  <w:noWrap/>
                  <w:vAlign w:val="bottom"/>
                  <w:hideMark/>
                </w:tcPr>
                <w:p w14:paraId="2225EE6C"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48</w:t>
                  </w:r>
                </w:p>
              </w:tc>
              <w:tc>
                <w:tcPr>
                  <w:tcW w:w="1640" w:type="dxa"/>
                  <w:tcBorders>
                    <w:top w:val="nil"/>
                    <w:left w:val="nil"/>
                    <w:bottom w:val="single" w:sz="4" w:space="0" w:color="auto"/>
                    <w:right w:val="single" w:sz="4" w:space="0" w:color="auto"/>
                  </w:tcBorders>
                  <w:noWrap/>
                  <w:vAlign w:val="bottom"/>
                  <w:hideMark/>
                </w:tcPr>
                <w:p w14:paraId="243864DA"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1</w:t>
                  </w:r>
                </w:p>
              </w:tc>
            </w:tr>
            <w:tr w:rsidR="00806566" w:rsidRPr="00D61E32" w14:paraId="19161458" w14:textId="77777777">
              <w:trPr>
                <w:trHeight w:val="300"/>
              </w:trPr>
              <w:tc>
                <w:tcPr>
                  <w:tcW w:w="2120" w:type="dxa"/>
                  <w:tcBorders>
                    <w:top w:val="nil"/>
                    <w:left w:val="single" w:sz="8" w:space="0" w:color="auto"/>
                    <w:bottom w:val="nil"/>
                    <w:right w:val="single" w:sz="8" w:space="0" w:color="auto"/>
                  </w:tcBorders>
                  <w:noWrap/>
                  <w:vAlign w:val="bottom"/>
                  <w:hideMark/>
                </w:tcPr>
                <w:p w14:paraId="65E9940F" w14:textId="77777777" w:rsidR="00806566" w:rsidRPr="00D61E32" w:rsidRDefault="00806566">
                  <w:pPr>
                    <w:rPr>
                      <w:rFonts w:ascii="Century Gothic" w:hAnsi="Century Gothic" w:cs="Calibri"/>
                      <w:b/>
                      <w:bCs/>
                      <w:color w:val="000000"/>
                    </w:rPr>
                  </w:pPr>
                  <w:r w:rsidRPr="00D61E32">
                    <w:rPr>
                      <w:rFonts w:ascii="Century Gothic" w:hAnsi="Century Gothic" w:cs="Calibri"/>
                      <w:b/>
                      <w:bCs/>
                      <w:color w:val="000000"/>
                    </w:rPr>
                    <w:t>Denials</w:t>
                  </w:r>
                </w:p>
              </w:tc>
              <w:tc>
                <w:tcPr>
                  <w:tcW w:w="1520" w:type="dxa"/>
                  <w:tcBorders>
                    <w:top w:val="nil"/>
                    <w:left w:val="nil"/>
                    <w:bottom w:val="single" w:sz="4" w:space="0" w:color="auto"/>
                    <w:right w:val="single" w:sz="4" w:space="0" w:color="auto"/>
                  </w:tcBorders>
                  <w:noWrap/>
                  <w:vAlign w:val="bottom"/>
                  <w:hideMark/>
                </w:tcPr>
                <w:p w14:paraId="4CE1E801"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16</w:t>
                  </w:r>
                </w:p>
              </w:tc>
              <w:tc>
                <w:tcPr>
                  <w:tcW w:w="1640" w:type="dxa"/>
                  <w:tcBorders>
                    <w:top w:val="nil"/>
                    <w:left w:val="nil"/>
                    <w:bottom w:val="single" w:sz="4" w:space="0" w:color="auto"/>
                    <w:right w:val="single" w:sz="4" w:space="0" w:color="auto"/>
                  </w:tcBorders>
                  <w:noWrap/>
                  <w:vAlign w:val="bottom"/>
                  <w:hideMark/>
                </w:tcPr>
                <w:p w14:paraId="118E3F10"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2</w:t>
                  </w:r>
                </w:p>
              </w:tc>
            </w:tr>
            <w:tr w:rsidR="00806566" w:rsidRPr="00D61E32" w14:paraId="61BCDA4D" w14:textId="77777777" w:rsidTr="00E70A33">
              <w:trPr>
                <w:trHeight w:val="439"/>
              </w:trPr>
              <w:tc>
                <w:tcPr>
                  <w:tcW w:w="212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7F172B0A" w14:textId="77777777" w:rsidR="00806566" w:rsidRPr="00D61E32" w:rsidRDefault="00806566">
                  <w:pPr>
                    <w:rPr>
                      <w:rFonts w:ascii="Century Gothic" w:hAnsi="Century Gothic" w:cs="Calibri"/>
                      <w:b/>
                      <w:bCs/>
                      <w:color w:val="000000"/>
                    </w:rPr>
                  </w:pPr>
                  <w:proofErr w:type="spellStart"/>
                  <w:r w:rsidRPr="00D61E32">
                    <w:rPr>
                      <w:rFonts w:ascii="Century Gothic" w:hAnsi="Century Gothic" w:cs="Calibri"/>
                      <w:b/>
                      <w:bCs/>
                      <w:color w:val="000000"/>
                    </w:rPr>
                    <w:t>MedSurg</w:t>
                  </w:r>
                  <w:proofErr w:type="spellEnd"/>
                  <w:r w:rsidRPr="00D61E32">
                    <w:rPr>
                      <w:rFonts w:ascii="Century Gothic" w:hAnsi="Century Gothic" w:cs="Calibri"/>
                      <w:b/>
                      <w:bCs/>
                      <w:color w:val="000000"/>
                    </w:rPr>
                    <w:t xml:space="preserve"> % Denied</w:t>
                  </w:r>
                </w:p>
              </w:tc>
              <w:tc>
                <w:tcPr>
                  <w:tcW w:w="1520" w:type="dxa"/>
                  <w:tcBorders>
                    <w:top w:val="nil"/>
                    <w:left w:val="nil"/>
                    <w:bottom w:val="single" w:sz="8" w:space="0" w:color="auto"/>
                    <w:right w:val="single" w:sz="4" w:space="0" w:color="auto"/>
                  </w:tcBorders>
                  <w:shd w:val="clear" w:color="auto" w:fill="B4C6E7"/>
                  <w:noWrap/>
                  <w:vAlign w:val="bottom"/>
                  <w:hideMark/>
                </w:tcPr>
                <w:p w14:paraId="36DB0BE1"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25%</w:t>
                  </w:r>
                </w:p>
              </w:tc>
              <w:tc>
                <w:tcPr>
                  <w:tcW w:w="1640" w:type="dxa"/>
                  <w:tcBorders>
                    <w:top w:val="nil"/>
                    <w:left w:val="nil"/>
                    <w:bottom w:val="single" w:sz="8" w:space="0" w:color="auto"/>
                    <w:right w:val="single" w:sz="4" w:space="0" w:color="auto"/>
                  </w:tcBorders>
                  <w:shd w:val="clear" w:color="auto" w:fill="B4C6E7"/>
                  <w:noWrap/>
                  <w:vAlign w:val="bottom"/>
                  <w:hideMark/>
                </w:tcPr>
                <w:p w14:paraId="0C638A49"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67%</w:t>
                  </w:r>
                </w:p>
              </w:tc>
            </w:tr>
          </w:tbl>
          <w:p w14:paraId="250F9643" w14:textId="77777777" w:rsidR="00806566" w:rsidRPr="00D61E32" w:rsidRDefault="00806566">
            <w:pPr>
              <w:rPr>
                <w:rFonts w:ascii="Century Gothic" w:eastAsia="Times New Roman" w:hAnsi="Century Gothic" w:cs="Arial"/>
                <w:b/>
                <w:bCs/>
              </w:rPr>
            </w:pPr>
          </w:p>
          <w:p w14:paraId="62045D75" w14:textId="77777777" w:rsidR="00806566" w:rsidRPr="00D61E32" w:rsidRDefault="00806566">
            <w:pPr>
              <w:rPr>
                <w:rFonts w:ascii="Century Gothic" w:hAnsi="Century Gothic" w:cs="Arial"/>
              </w:rPr>
            </w:pPr>
            <w:r w:rsidRPr="00D61E32">
              <w:rPr>
                <w:rFonts w:ascii="Century Gothic" w:hAnsi="Century Gothic" w:cs="Arial"/>
              </w:rPr>
              <w:t xml:space="preserve">The data above shows that 25% of inpatient in-network prior authorizations were denied and 67% of inpatient out-of-network prior authorizations were denied. </w:t>
            </w:r>
          </w:p>
          <w:p w14:paraId="5C823887" w14:textId="77777777" w:rsidR="00806566" w:rsidRPr="00D61E32" w:rsidRDefault="00806566">
            <w:pPr>
              <w:rPr>
                <w:rFonts w:ascii="Century Gothic" w:hAnsi="Century Gothic" w:cs="Arial"/>
              </w:rPr>
            </w:pPr>
          </w:p>
          <w:p w14:paraId="0ABF89E2" w14:textId="77777777" w:rsidR="00806566" w:rsidRPr="00D61E32" w:rsidRDefault="00806566">
            <w:pPr>
              <w:rPr>
                <w:rFonts w:ascii="Century Gothic" w:hAnsi="Century Gothic" w:cs="Arial"/>
                <w:color w:val="FF0000"/>
                <w:u w:val="single"/>
              </w:rPr>
            </w:pPr>
          </w:p>
          <w:p w14:paraId="711959B9" w14:textId="77777777" w:rsidR="00806566" w:rsidRPr="00D61E32" w:rsidRDefault="00806566">
            <w:pPr>
              <w:rPr>
                <w:rFonts w:ascii="Century Gothic" w:hAnsi="Century Gothic" w:cs="Arial"/>
                <w:color w:val="FF0000"/>
                <w:u w:val="single"/>
              </w:rPr>
            </w:pPr>
          </w:p>
          <w:p w14:paraId="7493F801" w14:textId="77777777" w:rsidR="00806566" w:rsidRPr="00D61E32" w:rsidRDefault="00806566">
            <w:pPr>
              <w:rPr>
                <w:rFonts w:ascii="Century Gothic" w:hAnsi="Century Gothic" w:cs="Arial"/>
                <w:color w:val="FF0000"/>
                <w:u w:val="single"/>
              </w:rPr>
            </w:pPr>
          </w:p>
          <w:p w14:paraId="6B9E2A7C" w14:textId="77777777" w:rsidR="00806566" w:rsidRPr="00D61E32" w:rsidRDefault="00806566">
            <w:pPr>
              <w:rPr>
                <w:rFonts w:ascii="Century Gothic" w:hAnsi="Century Gothic" w:cs="Arial"/>
                <w:color w:val="FF0000"/>
                <w:u w:val="single"/>
              </w:rPr>
            </w:pPr>
          </w:p>
          <w:p w14:paraId="2DD0B515" w14:textId="77777777" w:rsidR="00806566" w:rsidRPr="00D61E32" w:rsidRDefault="00806566">
            <w:pPr>
              <w:rPr>
                <w:rFonts w:ascii="Century Gothic" w:hAnsi="Century Gothic" w:cs="Arial"/>
                <w:color w:val="FF0000"/>
                <w:u w:val="single"/>
              </w:rPr>
            </w:pPr>
          </w:p>
          <w:p w14:paraId="43BFE549" w14:textId="77777777" w:rsidR="00806566" w:rsidRPr="00D61E32" w:rsidRDefault="00806566">
            <w:pPr>
              <w:rPr>
                <w:rFonts w:ascii="Century Gothic" w:hAnsi="Century Gothic" w:cs="Arial"/>
                <w:color w:val="FF0000"/>
                <w:u w:val="single"/>
              </w:rPr>
            </w:pPr>
          </w:p>
          <w:p w14:paraId="33CC09F8" w14:textId="77777777" w:rsidR="00806566" w:rsidRPr="00D61E32" w:rsidRDefault="00806566">
            <w:pPr>
              <w:rPr>
                <w:rFonts w:ascii="Century Gothic" w:hAnsi="Century Gothic" w:cs="Arial"/>
                <w:color w:val="FF0000"/>
                <w:u w:val="single"/>
              </w:rPr>
            </w:pPr>
          </w:p>
          <w:p w14:paraId="35A750E0" w14:textId="77777777" w:rsidR="00806566" w:rsidRPr="00D61E32" w:rsidRDefault="00806566">
            <w:pPr>
              <w:rPr>
                <w:rFonts w:ascii="Century Gothic" w:hAnsi="Century Gothic" w:cs="Arial"/>
                <w:color w:val="FF0000"/>
                <w:u w:val="single"/>
              </w:rPr>
            </w:pPr>
          </w:p>
          <w:p w14:paraId="6ED67CC9" w14:textId="77777777" w:rsidR="00806566" w:rsidRPr="00D61E32" w:rsidRDefault="00806566">
            <w:pPr>
              <w:rPr>
                <w:rFonts w:ascii="Century Gothic" w:hAnsi="Century Gothic" w:cs="Arial"/>
                <w:b/>
                <w:bCs/>
              </w:rPr>
            </w:pPr>
            <w:r w:rsidRPr="00D61E32">
              <w:rPr>
                <w:rFonts w:ascii="Century Gothic" w:hAnsi="Century Gothic" w:cs="Arial"/>
                <w:b/>
                <w:bCs/>
                <w:u w:val="single"/>
              </w:rPr>
              <w:t>Appeals Data</w:t>
            </w:r>
          </w:p>
          <w:p w14:paraId="357E1BF0" w14:textId="77777777" w:rsidR="00806566" w:rsidRPr="00D61E32" w:rsidRDefault="00806566">
            <w:pPr>
              <w:rPr>
                <w:rFonts w:ascii="Century Gothic" w:hAnsi="Century Gothic" w:cs="Arial"/>
                <w:b/>
                <w:bCs/>
              </w:rPr>
            </w:pPr>
            <w:r w:rsidRPr="00D61E32">
              <w:rPr>
                <w:rFonts w:ascii="Century Gothic" w:hAnsi="Century Gothic" w:cs="Arial"/>
                <w:b/>
                <w:bCs/>
              </w:rPr>
              <w:t>Inpatient</w:t>
            </w:r>
          </w:p>
          <w:tbl>
            <w:tblPr>
              <w:tblW w:w="5280" w:type="dxa"/>
              <w:tblLook w:val="04A0" w:firstRow="1" w:lastRow="0" w:firstColumn="1" w:lastColumn="0" w:noHBand="0" w:noVBand="1"/>
            </w:tblPr>
            <w:tblGrid>
              <w:gridCol w:w="1776"/>
              <w:gridCol w:w="1285"/>
              <w:gridCol w:w="1383"/>
            </w:tblGrid>
            <w:tr w:rsidR="00806566" w:rsidRPr="00D61E32" w14:paraId="267A383D" w14:textId="77777777">
              <w:trPr>
                <w:trHeight w:val="290"/>
              </w:trPr>
              <w:tc>
                <w:tcPr>
                  <w:tcW w:w="2120" w:type="dxa"/>
                  <w:tcBorders>
                    <w:top w:val="single" w:sz="4" w:space="0" w:color="auto"/>
                    <w:left w:val="single" w:sz="8" w:space="0" w:color="auto"/>
                    <w:bottom w:val="single" w:sz="4" w:space="0" w:color="auto"/>
                    <w:right w:val="single" w:sz="8" w:space="0" w:color="auto"/>
                  </w:tcBorders>
                  <w:shd w:val="clear" w:color="auto" w:fill="BFBFBF"/>
                  <w:noWrap/>
                  <w:vAlign w:val="bottom"/>
                  <w:hideMark/>
                </w:tcPr>
                <w:p w14:paraId="420295D6"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Network</w:t>
                  </w:r>
                </w:p>
              </w:tc>
              <w:tc>
                <w:tcPr>
                  <w:tcW w:w="1520" w:type="dxa"/>
                  <w:tcBorders>
                    <w:top w:val="single" w:sz="4" w:space="0" w:color="auto"/>
                    <w:left w:val="nil"/>
                    <w:bottom w:val="single" w:sz="4" w:space="0" w:color="auto"/>
                    <w:right w:val="single" w:sz="4" w:space="0" w:color="auto"/>
                  </w:tcBorders>
                  <w:shd w:val="clear" w:color="auto" w:fill="D9D9D9"/>
                  <w:noWrap/>
                  <w:vAlign w:val="bottom"/>
                  <w:hideMark/>
                </w:tcPr>
                <w:p w14:paraId="783B0FCD"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INN</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14:paraId="0CDA1C3E"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OON</w:t>
                  </w:r>
                </w:p>
              </w:tc>
            </w:tr>
            <w:tr w:rsidR="00806566" w:rsidRPr="00D61E32" w14:paraId="5C5670F5" w14:textId="77777777">
              <w:trPr>
                <w:trHeight w:val="300"/>
              </w:trPr>
              <w:tc>
                <w:tcPr>
                  <w:tcW w:w="2120" w:type="dxa"/>
                  <w:tcBorders>
                    <w:top w:val="nil"/>
                    <w:left w:val="single" w:sz="8" w:space="0" w:color="auto"/>
                    <w:bottom w:val="single" w:sz="8" w:space="0" w:color="auto"/>
                    <w:right w:val="single" w:sz="8" w:space="0" w:color="auto"/>
                  </w:tcBorders>
                  <w:shd w:val="clear" w:color="auto" w:fill="BFBFBF"/>
                  <w:noWrap/>
                  <w:vAlign w:val="bottom"/>
                  <w:hideMark/>
                </w:tcPr>
                <w:p w14:paraId="39CC3B1A"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Auth Type</w:t>
                  </w:r>
                </w:p>
              </w:tc>
              <w:tc>
                <w:tcPr>
                  <w:tcW w:w="1520" w:type="dxa"/>
                  <w:tcBorders>
                    <w:top w:val="nil"/>
                    <w:left w:val="nil"/>
                    <w:bottom w:val="single" w:sz="8" w:space="0" w:color="auto"/>
                    <w:right w:val="single" w:sz="4" w:space="0" w:color="auto"/>
                  </w:tcBorders>
                  <w:shd w:val="clear" w:color="auto" w:fill="D9D9D9"/>
                  <w:noWrap/>
                  <w:vAlign w:val="bottom"/>
                  <w:hideMark/>
                </w:tcPr>
                <w:p w14:paraId="6B041E19"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Precert</w:t>
                  </w:r>
                  <w:proofErr w:type="spellEnd"/>
                </w:p>
              </w:tc>
              <w:tc>
                <w:tcPr>
                  <w:tcW w:w="1640" w:type="dxa"/>
                  <w:tcBorders>
                    <w:top w:val="nil"/>
                    <w:left w:val="nil"/>
                    <w:bottom w:val="single" w:sz="8" w:space="0" w:color="auto"/>
                    <w:right w:val="single" w:sz="4" w:space="0" w:color="auto"/>
                  </w:tcBorders>
                  <w:shd w:val="clear" w:color="auto" w:fill="D9D9D9"/>
                  <w:noWrap/>
                  <w:vAlign w:val="bottom"/>
                  <w:hideMark/>
                </w:tcPr>
                <w:p w14:paraId="18039421"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Precert</w:t>
                  </w:r>
                  <w:proofErr w:type="spellEnd"/>
                </w:p>
              </w:tc>
            </w:tr>
            <w:tr w:rsidR="00806566" w:rsidRPr="00D61E32" w14:paraId="70864A9E" w14:textId="77777777">
              <w:trPr>
                <w:trHeight w:val="300"/>
              </w:trPr>
              <w:tc>
                <w:tcPr>
                  <w:tcW w:w="2120" w:type="dxa"/>
                  <w:tcBorders>
                    <w:top w:val="nil"/>
                    <w:left w:val="single" w:sz="8" w:space="0" w:color="auto"/>
                    <w:bottom w:val="nil"/>
                    <w:right w:val="single" w:sz="8" w:space="0" w:color="auto"/>
                  </w:tcBorders>
                  <w:shd w:val="clear" w:color="auto" w:fill="757171"/>
                  <w:noWrap/>
                  <w:vAlign w:val="bottom"/>
                  <w:hideMark/>
                </w:tcPr>
                <w:p w14:paraId="7B383EF7"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MedSurg</w:t>
                  </w:r>
                  <w:proofErr w:type="spellEnd"/>
                </w:p>
              </w:tc>
              <w:tc>
                <w:tcPr>
                  <w:tcW w:w="1520" w:type="dxa"/>
                  <w:tcBorders>
                    <w:top w:val="nil"/>
                    <w:left w:val="nil"/>
                    <w:bottom w:val="nil"/>
                    <w:right w:val="single" w:sz="4" w:space="0" w:color="auto"/>
                  </w:tcBorders>
                  <w:shd w:val="clear" w:color="auto" w:fill="757171"/>
                  <w:vAlign w:val="bottom"/>
                  <w:hideMark/>
                </w:tcPr>
                <w:p w14:paraId="37D49360"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c>
                <w:tcPr>
                  <w:tcW w:w="1640" w:type="dxa"/>
                  <w:tcBorders>
                    <w:top w:val="nil"/>
                    <w:left w:val="nil"/>
                    <w:bottom w:val="nil"/>
                    <w:right w:val="single" w:sz="4" w:space="0" w:color="auto"/>
                  </w:tcBorders>
                  <w:shd w:val="clear" w:color="auto" w:fill="757171"/>
                  <w:vAlign w:val="bottom"/>
                  <w:hideMark/>
                </w:tcPr>
                <w:p w14:paraId="71269746"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1</w:t>
                  </w:r>
                </w:p>
              </w:tc>
            </w:tr>
            <w:tr w:rsidR="00806566" w:rsidRPr="00D61E32" w14:paraId="37B7D0B7" w14:textId="77777777">
              <w:trPr>
                <w:trHeight w:val="290"/>
              </w:trPr>
              <w:tc>
                <w:tcPr>
                  <w:tcW w:w="2120" w:type="dxa"/>
                  <w:tcBorders>
                    <w:top w:val="nil"/>
                    <w:left w:val="single" w:sz="8" w:space="0" w:color="auto"/>
                    <w:bottom w:val="single" w:sz="4" w:space="0" w:color="auto"/>
                    <w:right w:val="single" w:sz="8" w:space="0" w:color="auto"/>
                  </w:tcBorders>
                  <w:noWrap/>
                  <w:vAlign w:val="bottom"/>
                  <w:hideMark/>
                </w:tcPr>
                <w:p w14:paraId="6AE988B4"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Denials Upheld</w:t>
                  </w:r>
                </w:p>
              </w:tc>
              <w:tc>
                <w:tcPr>
                  <w:tcW w:w="1520" w:type="dxa"/>
                  <w:tcBorders>
                    <w:top w:val="single" w:sz="8" w:space="0" w:color="auto"/>
                    <w:left w:val="nil"/>
                    <w:bottom w:val="single" w:sz="4" w:space="0" w:color="auto"/>
                    <w:right w:val="single" w:sz="4" w:space="0" w:color="auto"/>
                  </w:tcBorders>
                  <w:noWrap/>
                  <w:vAlign w:val="bottom"/>
                  <w:hideMark/>
                </w:tcPr>
                <w:p w14:paraId="1C2E6498"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40" w:type="dxa"/>
                  <w:tcBorders>
                    <w:top w:val="single" w:sz="8" w:space="0" w:color="auto"/>
                    <w:left w:val="nil"/>
                    <w:bottom w:val="single" w:sz="4" w:space="0" w:color="auto"/>
                    <w:right w:val="single" w:sz="4" w:space="0" w:color="auto"/>
                  </w:tcBorders>
                  <w:noWrap/>
                  <w:vAlign w:val="bottom"/>
                  <w:hideMark/>
                </w:tcPr>
                <w:p w14:paraId="3AD5D0CB"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r>
            <w:tr w:rsidR="00806566" w:rsidRPr="00D61E32" w14:paraId="7342592C" w14:textId="77777777">
              <w:trPr>
                <w:trHeight w:val="290"/>
              </w:trPr>
              <w:tc>
                <w:tcPr>
                  <w:tcW w:w="2120" w:type="dxa"/>
                  <w:tcBorders>
                    <w:top w:val="nil"/>
                    <w:left w:val="single" w:sz="8" w:space="0" w:color="auto"/>
                    <w:bottom w:val="single" w:sz="4" w:space="0" w:color="auto"/>
                    <w:right w:val="single" w:sz="8" w:space="0" w:color="auto"/>
                  </w:tcBorders>
                  <w:noWrap/>
                  <w:vAlign w:val="bottom"/>
                  <w:hideMark/>
                </w:tcPr>
                <w:p w14:paraId="21CED593"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Denials Overturned</w:t>
                  </w:r>
                </w:p>
              </w:tc>
              <w:tc>
                <w:tcPr>
                  <w:tcW w:w="1520" w:type="dxa"/>
                  <w:tcBorders>
                    <w:top w:val="nil"/>
                    <w:left w:val="nil"/>
                    <w:bottom w:val="single" w:sz="4" w:space="0" w:color="auto"/>
                    <w:right w:val="single" w:sz="4" w:space="0" w:color="auto"/>
                  </w:tcBorders>
                  <w:noWrap/>
                  <w:vAlign w:val="bottom"/>
                  <w:hideMark/>
                </w:tcPr>
                <w:p w14:paraId="16E41AC2"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40" w:type="dxa"/>
                  <w:tcBorders>
                    <w:top w:val="nil"/>
                    <w:left w:val="nil"/>
                    <w:bottom w:val="single" w:sz="4" w:space="0" w:color="auto"/>
                    <w:right w:val="single" w:sz="4" w:space="0" w:color="auto"/>
                  </w:tcBorders>
                  <w:noWrap/>
                  <w:vAlign w:val="bottom"/>
                  <w:hideMark/>
                </w:tcPr>
                <w:p w14:paraId="47E33A5A"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1</w:t>
                  </w:r>
                </w:p>
              </w:tc>
            </w:tr>
            <w:tr w:rsidR="00806566" w:rsidRPr="00D61E32" w14:paraId="3EB4B8CB" w14:textId="77777777">
              <w:trPr>
                <w:trHeight w:val="300"/>
              </w:trPr>
              <w:tc>
                <w:tcPr>
                  <w:tcW w:w="2120" w:type="dxa"/>
                  <w:tcBorders>
                    <w:top w:val="nil"/>
                    <w:left w:val="single" w:sz="8" w:space="0" w:color="auto"/>
                    <w:bottom w:val="nil"/>
                    <w:right w:val="single" w:sz="8" w:space="0" w:color="auto"/>
                  </w:tcBorders>
                  <w:shd w:val="clear" w:color="auto" w:fill="B4C6E7"/>
                  <w:noWrap/>
                  <w:vAlign w:val="bottom"/>
                  <w:hideMark/>
                </w:tcPr>
                <w:p w14:paraId="5363DBF4"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MedSurg</w:t>
                  </w:r>
                  <w:proofErr w:type="spellEnd"/>
                  <w:r w:rsidRPr="00D61E32">
                    <w:rPr>
                      <w:rFonts w:ascii="Century Gothic" w:hAnsi="Century Gothic" w:cs="Calibri"/>
                      <w:b/>
                      <w:bCs/>
                      <w:color w:val="000000"/>
                    </w:rPr>
                    <w:t xml:space="preserve"> % Upheld</w:t>
                  </w:r>
                </w:p>
              </w:tc>
              <w:tc>
                <w:tcPr>
                  <w:tcW w:w="1520" w:type="dxa"/>
                  <w:tcBorders>
                    <w:top w:val="nil"/>
                    <w:left w:val="nil"/>
                    <w:bottom w:val="single" w:sz="8" w:space="0" w:color="auto"/>
                    <w:right w:val="single" w:sz="4" w:space="0" w:color="auto"/>
                  </w:tcBorders>
                  <w:shd w:val="clear" w:color="auto" w:fill="B4C6E7"/>
                  <w:noWrap/>
                  <w:vAlign w:val="bottom"/>
                  <w:hideMark/>
                </w:tcPr>
                <w:p w14:paraId="38F9F9EE"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c>
                <w:tcPr>
                  <w:tcW w:w="1640" w:type="dxa"/>
                  <w:tcBorders>
                    <w:top w:val="nil"/>
                    <w:left w:val="nil"/>
                    <w:bottom w:val="single" w:sz="8" w:space="0" w:color="auto"/>
                    <w:right w:val="single" w:sz="4" w:space="0" w:color="auto"/>
                  </w:tcBorders>
                  <w:shd w:val="clear" w:color="auto" w:fill="B4C6E7"/>
                  <w:noWrap/>
                  <w:vAlign w:val="bottom"/>
                  <w:hideMark/>
                </w:tcPr>
                <w:p w14:paraId="68F5F494"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r>
          </w:tbl>
          <w:p w14:paraId="36221438" w14:textId="77777777" w:rsidR="00806566" w:rsidRPr="00D61E32" w:rsidRDefault="00806566">
            <w:pPr>
              <w:rPr>
                <w:rFonts w:ascii="Century Gothic" w:eastAsia="Times New Roman" w:hAnsi="Century Gothic" w:cs="Arial"/>
                <w:b/>
                <w:bCs/>
                <w:color w:val="FF0000"/>
              </w:rPr>
            </w:pPr>
          </w:p>
          <w:p w14:paraId="546E8554" w14:textId="77777777" w:rsidR="00806566" w:rsidRPr="00D61E32" w:rsidRDefault="00806566">
            <w:pPr>
              <w:rPr>
                <w:rFonts w:ascii="Century Gothic" w:hAnsi="Century Gothic" w:cs="Arial"/>
              </w:rPr>
            </w:pPr>
            <w:r w:rsidRPr="00D61E32">
              <w:rPr>
                <w:rFonts w:ascii="Century Gothic" w:hAnsi="Century Gothic" w:cs="Arial"/>
              </w:rPr>
              <w:t xml:space="preserve">The data above shows one denial overturned. </w:t>
            </w:r>
          </w:p>
          <w:p w14:paraId="2EFDD151" w14:textId="77777777" w:rsidR="00806566" w:rsidRPr="00D61E32" w:rsidRDefault="00806566">
            <w:pPr>
              <w:rPr>
                <w:rFonts w:ascii="Century Gothic" w:hAnsi="Century Gothic" w:cs="Arial"/>
              </w:rPr>
            </w:pPr>
          </w:p>
          <w:p w14:paraId="5A53D62F" w14:textId="77777777" w:rsidR="00806566" w:rsidRPr="00D61E32" w:rsidRDefault="00806566">
            <w:pPr>
              <w:rPr>
                <w:rFonts w:ascii="Century Gothic" w:hAnsi="Century Gothic" w:cs="Arial"/>
                <w:b/>
                <w:bCs/>
                <w:color w:val="FF0000"/>
              </w:rPr>
            </w:pPr>
          </w:p>
          <w:p w14:paraId="5D4CA708" w14:textId="77777777" w:rsidR="00806566" w:rsidRPr="00D61E32" w:rsidRDefault="00806566">
            <w:pPr>
              <w:rPr>
                <w:rFonts w:ascii="Century Gothic" w:hAnsi="Century Gothic" w:cs="Arial"/>
                <w:color w:val="FF0000"/>
              </w:rPr>
            </w:pPr>
          </w:p>
          <w:p w14:paraId="60B0D591" w14:textId="77777777" w:rsidR="00806566" w:rsidRPr="00D61E32" w:rsidRDefault="00806566">
            <w:pPr>
              <w:rPr>
                <w:rFonts w:ascii="Century Gothic" w:hAnsi="Century Gothic" w:cs="Arial"/>
                <w:color w:val="FF0000"/>
              </w:rPr>
            </w:pPr>
          </w:p>
          <w:p w14:paraId="7AFDF895" w14:textId="77777777" w:rsidR="00806566" w:rsidRPr="00D61E32" w:rsidRDefault="00806566">
            <w:pPr>
              <w:rPr>
                <w:rFonts w:ascii="Century Gothic" w:hAnsi="Century Gothic" w:cs="Arial"/>
                <w:color w:val="FF0000"/>
              </w:rPr>
            </w:pPr>
          </w:p>
          <w:p w14:paraId="7C367552" w14:textId="77777777" w:rsidR="00806566" w:rsidRPr="00D61E32" w:rsidRDefault="00806566">
            <w:pPr>
              <w:rPr>
                <w:rFonts w:ascii="Century Gothic" w:hAnsi="Century Gothic" w:cs="Arial"/>
                <w:color w:val="FF0000"/>
              </w:rPr>
            </w:pPr>
          </w:p>
          <w:p w14:paraId="07FDA35B" w14:textId="77777777" w:rsidR="00806566" w:rsidRPr="00D61E32" w:rsidRDefault="00806566">
            <w:pPr>
              <w:rPr>
                <w:rFonts w:ascii="Century Gothic" w:hAnsi="Century Gothic" w:cs="Arial"/>
                <w:b/>
                <w:bCs/>
                <w:color w:val="FF0000"/>
                <w:u w:val="single"/>
              </w:rPr>
            </w:pPr>
          </w:p>
        </w:tc>
        <w:tc>
          <w:tcPr>
            <w:tcW w:w="2500" w:type="pct"/>
            <w:tcBorders>
              <w:top w:val="single" w:sz="4" w:space="0" w:color="auto"/>
              <w:left w:val="single" w:sz="4" w:space="0" w:color="auto"/>
              <w:bottom w:val="single" w:sz="4" w:space="0" w:color="auto"/>
              <w:right w:val="single" w:sz="4" w:space="0" w:color="auto"/>
            </w:tcBorders>
          </w:tcPr>
          <w:p w14:paraId="03EF300B" w14:textId="1A125522" w:rsidR="00806566" w:rsidRPr="00E70A33" w:rsidRDefault="00806566">
            <w:pPr>
              <w:rPr>
                <w:rFonts w:ascii="Century Gothic" w:hAnsi="Century Gothic" w:cs="Arial"/>
                <w:b/>
                <w:i/>
              </w:rPr>
            </w:pPr>
            <w:r w:rsidRPr="00D61E32">
              <w:rPr>
                <w:rFonts w:ascii="Century Gothic" w:hAnsi="Century Gothic" w:cs="Arial"/>
                <w:b/>
                <w:i/>
              </w:rPr>
              <w:t>Step 4(b): Identify and define the factors and processes that are used to monitor and evaluate the application of Prior Authorization for MH/SUD benefits</w:t>
            </w:r>
            <w:r w:rsidRPr="00D61E32">
              <w:rPr>
                <w:rFonts w:ascii="Century Gothic" w:hAnsi="Century Gothic" w:cs="Arial"/>
              </w:rPr>
              <w:t>:</w:t>
            </w:r>
          </w:p>
          <w:p w14:paraId="10295D37" w14:textId="04212DB4" w:rsidR="00806566" w:rsidRPr="00E70A33" w:rsidRDefault="00806566">
            <w:pPr>
              <w:rPr>
                <w:rFonts w:ascii="Century Gothic" w:hAnsi="Century Gothic" w:cs="Arial"/>
                <w:b/>
                <w:bCs/>
              </w:rPr>
            </w:pPr>
            <w:r w:rsidRPr="00D61E32">
              <w:rPr>
                <w:rFonts w:ascii="Century Gothic" w:hAnsi="Century Gothic" w:cs="Arial"/>
                <w:b/>
                <w:bCs/>
              </w:rPr>
              <w:t xml:space="preserve">2023 Data </w:t>
            </w:r>
            <w:r w:rsidRPr="00D61E32">
              <w:rPr>
                <w:rFonts w:ascii="Century Gothic" w:hAnsi="Century Gothic" w:cs="Arial"/>
              </w:rPr>
              <w:t>– Wellfleet delegates Utilization Management, including Prior Authorization, to Cigna.  The below data represents an analysis of prior authorization requests across Wellfleet’s Book of Business from January 1, 2023 – December 31, 2023.</w:t>
            </w:r>
            <w:r w:rsidRPr="00D61E32">
              <w:rPr>
                <w:rFonts w:ascii="Century Gothic" w:hAnsi="Century Gothic" w:cs="Arial"/>
                <w:b/>
                <w:bCs/>
              </w:rPr>
              <w:t xml:space="preserve"> </w:t>
            </w:r>
          </w:p>
          <w:p w14:paraId="1DE9C2B3" w14:textId="77777777" w:rsidR="00806566" w:rsidRPr="00D61E32" w:rsidRDefault="00806566">
            <w:pPr>
              <w:rPr>
                <w:rFonts w:ascii="Century Gothic" w:hAnsi="Century Gothic" w:cs="Arial"/>
                <w:b/>
                <w:bCs/>
              </w:rPr>
            </w:pPr>
            <w:r w:rsidRPr="00D61E32">
              <w:rPr>
                <w:rFonts w:ascii="Century Gothic" w:hAnsi="Century Gothic" w:cs="Arial"/>
                <w:b/>
                <w:bCs/>
              </w:rPr>
              <w:t>Inpatient Prior Authorization Denial Rates</w:t>
            </w:r>
          </w:p>
          <w:tbl>
            <w:tblPr>
              <w:tblW w:w="4700" w:type="dxa"/>
              <w:tblLook w:val="04A0" w:firstRow="1" w:lastRow="0" w:firstColumn="1" w:lastColumn="0" w:noHBand="0" w:noVBand="1"/>
            </w:tblPr>
            <w:tblGrid>
              <w:gridCol w:w="1663"/>
              <w:gridCol w:w="1250"/>
              <w:gridCol w:w="1531"/>
            </w:tblGrid>
            <w:tr w:rsidR="00806566" w:rsidRPr="00D61E32" w14:paraId="706725CE" w14:textId="77777777">
              <w:trPr>
                <w:trHeight w:val="290"/>
              </w:trPr>
              <w:tc>
                <w:tcPr>
                  <w:tcW w:w="1760" w:type="dxa"/>
                  <w:tcBorders>
                    <w:top w:val="single" w:sz="4" w:space="0" w:color="auto"/>
                    <w:left w:val="single" w:sz="8" w:space="0" w:color="auto"/>
                    <w:bottom w:val="single" w:sz="4" w:space="0" w:color="auto"/>
                    <w:right w:val="single" w:sz="8" w:space="0" w:color="auto"/>
                  </w:tcBorders>
                  <w:shd w:val="clear" w:color="auto" w:fill="D9D9D9"/>
                  <w:noWrap/>
                  <w:vAlign w:val="bottom"/>
                  <w:hideMark/>
                </w:tcPr>
                <w:p w14:paraId="2BDF1DF4"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NETWORK</w:t>
                  </w:r>
                </w:p>
              </w:tc>
              <w:tc>
                <w:tcPr>
                  <w:tcW w:w="1320" w:type="dxa"/>
                  <w:tcBorders>
                    <w:top w:val="single" w:sz="4" w:space="0" w:color="auto"/>
                    <w:left w:val="nil"/>
                    <w:bottom w:val="single" w:sz="4" w:space="0" w:color="auto"/>
                    <w:right w:val="single" w:sz="4" w:space="0" w:color="auto"/>
                  </w:tcBorders>
                  <w:shd w:val="clear" w:color="auto" w:fill="D9D9D9"/>
                  <w:noWrap/>
                  <w:vAlign w:val="bottom"/>
                  <w:hideMark/>
                </w:tcPr>
                <w:p w14:paraId="298CD3B6"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INN</w:t>
                  </w:r>
                </w:p>
              </w:tc>
              <w:tc>
                <w:tcPr>
                  <w:tcW w:w="1620" w:type="dxa"/>
                  <w:tcBorders>
                    <w:top w:val="single" w:sz="4" w:space="0" w:color="auto"/>
                    <w:left w:val="nil"/>
                    <w:bottom w:val="single" w:sz="4" w:space="0" w:color="auto"/>
                    <w:right w:val="single" w:sz="4" w:space="0" w:color="auto"/>
                  </w:tcBorders>
                  <w:shd w:val="clear" w:color="auto" w:fill="D9D9D9"/>
                  <w:noWrap/>
                  <w:vAlign w:val="bottom"/>
                  <w:hideMark/>
                </w:tcPr>
                <w:p w14:paraId="1AA2BE31"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OON</w:t>
                  </w:r>
                </w:p>
              </w:tc>
            </w:tr>
            <w:bookmarkEnd w:id="9"/>
            <w:tr w:rsidR="00806566" w:rsidRPr="00D61E32" w14:paraId="68F37DEA" w14:textId="77777777">
              <w:trPr>
                <w:trHeight w:val="300"/>
              </w:trPr>
              <w:tc>
                <w:tcPr>
                  <w:tcW w:w="1760" w:type="dxa"/>
                  <w:tcBorders>
                    <w:top w:val="nil"/>
                    <w:left w:val="single" w:sz="8" w:space="0" w:color="auto"/>
                    <w:bottom w:val="single" w:sz="8" w:space="0" w:color="auto"/>
                    <w:right w:val="single" w:sz="8" w:space="0" w:color="auto"/>
                  </w:tcBorders>
                  <w:shd w:val="clear" w:color="auto" w:fill="D9D9D9"/>
                  <w:noWrap/>
                  <w:vAlign w:val="bottom"/>
                  <w:hideMark/>
                </w:tcPr>
                <w:p w14:paraId="40223F08"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Auth Type</w:t>
                  </w:r>
                </w:p>
              </w:tc>
              <w:tc>
                <w:tcPr>
                  <w:tcW w:w="1320" w:type="dxa"/>
                  <w:tcBorders>
                    <w:top w:val="nil"/>
                    <w:left w:val="nil"/>
                    <w:bottom w:val="single" w:sz="8" w:space="0" w:color="auto"/>
                    <w:right w:val="single" w:sz="4" w:space="0" w:color="auto"/>
                  </w:tcBorders>
                  <w:shd w:val="clear" w:color="auto" w:fill="D9D9D9"/>
                  <w:noWrap/>
                  <w:vAlign w:val="bottom"/>
                  <w:hideMark/>
                </w:tcPr>
                <w:p w14:paraId="7CD8DEA9"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Precert</w:t>
                  </w:r>
                  <w:proofErr w:type="spellEnd"/>
                </w:p>
              </w:tc>
              <w:tc>
                <w:tcPr>
                  <w:tcW w:w="1620" w:type="dxa"/>
                  <w:tcBorders>
                    <w:top w:val="nil"/>
                    <w:left w:val="nil"/>
                    <w:bottom w:val="single" w:sz="8" w:space="0" w:color="auto"/>
                    <w:right w:val="single" w:sz="4" w:space="0" w:color="auto"/>
                  </w:tcBorders>
                  <w:shd w:val="clear" w:color="auto" w:fill="D9D9D9"/>
                  <w:noWrap/>
                  <w:vAlign w:val="bottom"/>
                  <w:hideMark/>
                </w:tcPr>
                <w:p w14:paraId="26E2E18C"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Precert</w:t>
                  </w:r>
                  <w:proofErr w:type="spellEnd"/>
                </w:p>
              </w:tc>
            </w:tr>
            <w:tr w:rsidR="00806566" w:rsidRPr="00D61E32" w14:paraId="50CF2D6B" w14:textId="77777777">
              <w:trPr>
                <w:trHeight w:val="290"/>
              </w:trPr>
              <w:tc>
                <w:tcPr>
                  <w:tcW w:w="1760" w:type="dxa"/>
                  <w:tcBorders>
                    <w:top w:val="nil"/>
                    <w:left w:val="single" w:sz="8" w:space="0" w:color="auto"/>
                    <w:bottom w:val="single" w:sz="4" w:space="0" w:color="auto"/>
                    <w:right w:val="single" w:sz="8" w:space="0" w:color="auto"/>
                  </w:tcBorders>
                  <w:shd w:val="clear" w:color="auto" w:fill="757171"/>
                  <w:noWrap/>
                  <w:vAlign w:val="bottom"/>
                  <w:hideMark/>
                </w:tcPr>
                <w:p w14:paraId="603273D7"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MH</w:t>
                  </w:r>
                </w:p>
              </w:tc>
              <w:tc>
                <w:tcPr>
                  <w:tcW w:w="1320" w:type="dxa"/>
                  <w:tcBorders>
                    <w:top w:val="nil"/>
                    <w:left w:val="nil"/>
                    <w:bottom w:val="single" w:sz="4" w:space="0" w:color="auto"/>
                    <w:right w:val="single" w:sz="4" w:space="0" w:color="auto"/>
                  </w:tcBorders>
                  <w:shd w:val="clear" w:color="auto" w:fill="757171"/>
                  <w:noWrap/>
                  <w:vAlign w:val="bottom"/>
                  <w:hideMark/>
                </w:tcPr>
                <w:p w14:paraId="0A92E649"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8</w:t>
                  </w:r>
                </w:p>
              </w:tc>
              <w:tc>
                <w:tcPr>
                  <w:tcW w:w="1620" w:type="dxa"/>
                  <w:tcBorders>
                    <w:top w:val="nil"/>
                    <w:left w:val="nil"/>
                    <w:bottom w:val="single" w:sz="4" w:space="0" w:color="auto"/>
                    <w:right w:val="single" w:sz="4" w:space="0" w:color="auto"/>
                  </w:tcBorders>
                  <w:shd w:val="clear" w:color="auto" w:fill="757171"/>
                  <w:noWrap/>
                  <w:vAlign w:val="bottom"/>
                  <w:hideMark/>
                </w:tcPr>
                <w:p w14:paraId="40993691"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3</w:t>
                  </w:r>
                </w:p>
              </w:tc>
            </w:tr>
            <w:tr w:rsidR="00806566" w:rsidRPr="00D61E32" w14:paraId="26967360" w14:textId="77777777">
              <w:trPr>
                <w:trHeight w:val="290"/>
              </w:trPr>
              <w:tc>
                <w:tcPr>
                  <w:tcW w:w="1760" w:type="dxa"/>
                  <w:tcBorders>
                    <w:top w:val="nil"/>
                    <w:left w:val="single" w:sz="8" w:space="0" w:color="auto"/>
                    <w:bottom w:val="single" w:sz="4" w:space="0" w:color="auto"/>
                    <w:right w:val="single" w:sz="8" w:space="0" w:color="auto"/>
                  </w:tcBorders>
                  <w:noWrap/>
                  <w:vAlign w:val="bottom"/>
                  <w:hideMark/>
                </w:tcPr>
                <w:p w14:paraId="370E4C6C"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Approvals</w:t>
                  </w:r>
                </w:p>
              </w:tc>
              <w:tc>
                <w:tcPr>
                  <w:tcW w:w="1320" w:type="dxa"/>
                  <w:tcBorders>
                    <w:top w:val="nil"/>
                    <w:left w:val="nil"/>
                    <w:bottom w:val="single" w:sz="4" w:space="0" w:color="auto"/>
                    <w:right w:val="single" w:sz="4" w:space="0" w:color="auto"/>
                  </w:tcBorders>
                  <w:noWrap/>
                  <w:vAlign w:val="bottom"/>
                  <w:hideMark/>
                </w:tcPr>
                <w:p w14:paraId="3A9689F3"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8</w:t>
                  </w:r>
                </w:p>
              </w:tc>
              <w:tc>
                <w:tcPr>
                  <w:tcW w:w="1620" w:type="dxa"/>
                  <w:tcBorders>
                    <w:top w:val="nil"/>
                    <w:left w:val="nil"/>
                    <w:bottom w:val="single" w:sz="4" w:space="0" w:color="auto"/>
                    <w:right w:val="single" w:sz="4" w:space="0" w:color="auto"/>
                  </w:tcBorders>
                  <w:noWrap/>
                  <w:vAlign w:val="bottom"/>
                  <w:hideMark/>
                </w:tcPr>
                <w:p w14:paraId="3C370A64"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3</w:t>
                  </w:r>
                </w:p>
              </w:tc>
            </w:tr>
            <w:tr w:rsidR="00806566" w:rsidRPr="00D61E32" w14:paraId="2632BF0F" w14:textId="77777777">
              <w:trPr>
                <w:trHeight w:val="300"/>
              </w:trPr>
              <w:tc>
                <w:tcPr>
                  <w:tcW w:w="1760" w:type="dxa"/>
                  <w:tcBorders>
                    <w:top w:val="nil"/>
                    <w:left w:val="single" w:sz="8" w:space="0" w:color="auto"/>
                    <w:bottom w:val="nil"/>
                    <w:right w:val="single" w:sz="8" w:space="0" w:color="auto"/>
                  </w:tcBorders>
                  <w:noWrap/>
                  <w:vAlign w:val="bottom"/>
                  <w:hideMark/>
                </w:tcPr>
                <w:p w14:paraId="74D4E391"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Denials</w:t>
                  </w:r>
                </w:p>
              </w:tc>
              <w:tc>
                <w:tcPr>
                  <w:tcW w:w="1320" w:type="dxa"/>
                  <w:tcBorders>
                    <w:top w:val="nil"/>
                    <w:left w:val="nil"/>
                    <w:bottom w:val="single" w:sz="4" w:space="0" w:color="auto"/>
                    <w:right w:val="single" w:sz="4" w:space="0" w:color="auto"/>
                  </w:tcBorders>
                  <w:noWrap/>
                  <w:vAlign w:val="bottom"/>
                  <w:hideMark/>
                </w:tcPr>
                <w:p w14:paraId="262B2CA3"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20" w:type="dxa"/>
                  <w:tcBorders>
                    <w:top w:val="nil"/>
                    <w:left w:val="nil"/>
                    <w:bottom w:val="single" w:sz="4" w:space="0" w:color="auto"/>
                    <w:right w:val="single" w:sz="4" w:space="0" w:color="auto"/>
                  </w:tcBorders>
                  <w:noWrap/>
                  <w:vAlign w:val="bottom"/>
                  <w:hideMark/>
                </w:tcPr>
                <w:p w14:paraId="615C1F89"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r>
            <w:tr w:rsidR="00806566" w:rsidRPr="00D61E32" w14:paraId="55306F50" w14:textId="77777777">
              <w:trPr>
                <w:trHeight w:val="300"/>
              </w:trPr>
              <w:tc>
                <w:tcPr>
                  <w:tcW w:w="176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03D878B2"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MH % Denied</w:t>
                  </w:r>
                </w:p>
              </w:tc>
              <w:tc>
                <w:tcPr>
                  <w:tcW w:w="1320" w:type="dxa"/>
                  <w:tcBorders>
                    <w:top w:val="nil"/>
                    <w:left w:val="nil"/>
                    <w:bottom w:val="single" w:sz="8" w:space="0" w:color="auto"/>
                    <w:right w:val="single" w:sz="4" w:space="0" w:color="auto"/>
                  </w:tcBorders>
                  <w:shd w:val="clear" w:color="auto" w:fill="B4C6E7"/>
                  <w:noWrap/>
                  <w:vAlign w:val="bottom"/>
                  <w:hideMark/>
                </w:tcPr>
                <w:p w14:paraId="229AFAC4"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c>
                <w:tcPr>
                  <w:tcW w:w="1620" w:type="dxa"/>
                  <w:tcBorders>
                    <w:top w:val="nil"/>
                    <w:left w:val="nil"/>
                    <w:bottom w:val="single" w:sz="8" w:space="0" w:color="auto"/>
                    <w:right w:val="single" w:sz="4" w:space="0" w:color="auto"/>
                  </w:tcBorders>
                  <w:shd w:val="clear" w:color="auto" w:fill="B4C6E7"/>
                  <w:noWrap/>
                  <w:vAlign w:val="bottom"/>
                  <w:hideMark/>
                </w:tcPr>
                <w:p w14:paraId="2E92EA3A"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r>
            <w:tr w:rsidR="00806566" w:rsidRPr="00D61E32" w14:paraId="651CC92A" w14:textId="77777777">
              <w:trPr>
                <w:trHeight w:val="290"/>
              </w:trPr>
              <w:tc>
                <w:tcPr>
                  <w:tcW w:w="1760" w:type="dxa"/>
                  <w:tcBorders>
                    <w:top w:val="nil"/>
                    <w:left w:val="single" w:sz="8" w:space="0" w:color="auto"/>
                    <w:bottom w:val="single" w:sz="4" w:space="0" w:color="auto"/>
                    <w:right w:val="single" w:sz="8" w:space="0" w:color="auto"/>
                  </w:tcBorders>
                  <w:shd w:val="clear" w:color="auto" w:fill="757171"/>
                  <w:noWrap/>
                  <w:vAlign w:val="bottom"/>
                  <w:hideMark/>
                </w:tcPr>
                <w:p w14:paraId="3E2B2B67"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SUD</w:t>
                  </w:r>
                </w:p>
              </w:tc>
              <w:tc>
                <w:tcPr>
                  <w:tcW w:w="1320" w:type="dxa"/>
                  <w:tcBorders>
                    <w:top w:val="nil"/>
                    <w:left w:val="nil"/>
                    <w:bottom w:val="single" w:sz="4" w:space="0" w:color="auto"/>
                    <w:right w:val="single" w:sz="4" w:space="0" w:color="auto"/>
                  </w:tcBorders>
                  <w:shd w:val="clear" w:color="auto" w:fill="757171"/>
                  <w:noWrap/>
                  <w:vAlign w:val="bottom"/>
                  <w:hideMark/>
                </w:tcPr>
                <w:p w14:paraId="192CD202"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2</w:t>
                  </w:r>
                </w:p>
              </w:tc>
              <w:tc>
                <w:tcPr>
                  <w:tcW w:w="1620" w:type="dxa"/>
                  <w:tcBorders>
                    <w:top w:val="nil"/>
                    <w:left w:val="nil"/>
                    <w:bottom w:val="single" w:sz="4" w:space="0" w:color="auto"/>
                    <w:right w:val="single" w:sz="4" w:space="0" w:color="auto"/>
                  </w:tcBorders>
                  <w:shd w:val="clear" w:color="auto" w:fill="757171"/>
                  <w:noWrap/>
                  <w:vAlign w:val="bottom"/>
                  <w:hideMark/>
                </w:tcPr>
                <w:p w14:paraId="6781440E"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2</w:t>
                  </w:r>
                </w:p>
              </w:tc>
            </w:tr>
            <w:tr w:rsidR="00806566" w:rsidRPr="00D61E32" w14:paraId="152268D2" w14:textId="77777777">
              <w:trPr>
                <w:trHeight w:val="290"/>
              </w:trPr>
              <w:tc>
                <w:tcPr>
                  <w:tcW w:w="1760" w:type="dxa"/>
                  <w:tcBorders>
                    <w:top w:val="nil"/>
                    <w:left w:val="single" w:sz="8" w:space="0" w:color="auto"/>
                    <w:bottom w:val="single" w:sz="4" w:space="0" w:color="auto"/>
                    <w:right w:val="single" w:sz="8" w:space="0" w:color="auto"/>
                  </w:tcBorders>
                  <w:noWrap/>
                  <w:vAlign w:val="bottom"/>
                  <w:hideMark/>
                </w:tcPr>
                <w:p w14:paraId="1C5E48AC"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Approvals</w:t>
                  </w:r>
                </w:p>
              </w:tc>
              <w:tc>
                <w:tcPr>
                  <w:tcW w:w="1320" w:type="dxa"/>
                  <w:tcBorders>
                    <w:top w:val="nil"/>
                    <w:left w:val="nil"/>
                    <w:bottom w:val="single" w:sz="4" w:space="0" w:color="auto"/>
                    <w:right w:val="single" w:sz="4" w:space="0" w:color="auto"/>
                  </w:tcBorders>
                  <w:noWrap/>
                  <w:vAlign w:val="bottom"/>
                  <w:hideMark/>
                </w:tcPr>
                <w:p w14:paraId="68169DFD"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2</w:t>
                  </w:r>
                </w:p>
              </w:tc>
              <w:tc>
                <w:tcPr>
                  <w:tcW w:w="1620" w:type="dxa"/>
                  <w:tcBorders>
                    <w:top w:val="nil"/>
                    <w:left w:val="nil"/>
                    <w:bottom w:val="single" w:sz="4" w:space="0" w:color="auto"/>
                    <w:right w:val="single" w:sz="4" w:space="0" w:color="auto"/>
                  </w:tcBorders>
                  <w:noWrap/>
                  <w:vAlign w:val="bottom"/>
                  <w:hideMark/>
                </w:tcPr>
                <w:p w14:paraId="46B7D2E5"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2</w:t>
                  </w:r>
                </w:p>
              </w:tc>
            </w:tr>
            <w:tr w:rsidR="00806566" w:rsidRPr="00D61E32" w14:paraId="6B22F115" w14:textId="77777777">
              <w:trPr>
                <w:trHeight w:val="300"/>
              </w:trPr>
              <w:tc>
                <w:tcPr>
                  <w:tcW w:w="1760" w:type="dxa"/>
                  <w:tcBorders>
                    <w:top w:val="nil"/>
                    <w:left w:val="single" w:sz="8" w:space="0" w:color="auto"/>
                    <w:bottom w:val="nil"/>
                    <w:right w:val="single" w:sz="8" w:space="0" w:color="auto"/>
                  </w:tcBorders>
                  <w:noWrap/>
                  <w:vAlign w:val="bottom"/>
                  <w:hideMark/>
                </w:tcPr>
                <w:p w14:paraId="641BFAA8"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Denials</w:t>
                  </w:r>
                </w:p>
              </w:tc>
              <w:tc>
                <w:tcPr>
                  <w:tcW w:w="1320" w:type="dxa"/>
                  <w:tcBorders>
                    <w:top w:val="nil"/>
                    <w:left w:val="nil"/>
                    <w:bottom w:val="single" w:sz="4" w:space="0" w:color="auto"/>
                    <w:right w:val="single" w:sz="4" w:space="0" w:color="auto"/>
                  </w:tcBorders>
                  <w:noWrap/>
                  <w:vAlign w:val="bottom"/>
                  <w:hideMark/>
                </w:tcPr>
                <w:p w14:paraId="206BEBFB"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20" w:type="dxa"/>
                  <w:tcBorders>
                    <w:top w:val="nil"/>
                    <w:left w:val="nil"/>
                    <w:bottom w:val="single" w:sz="4" w:space="0" w:color="auto"/>
                    <w:right w:val="single" w:sz="4" w:space="0" w:color="auto"/>
                  </w:tcBorders>
                  <w:noWrap/>
                  <w:vAlign w:val="bottom"/>
                  <w:hideMark/>
                </w:tcPr>
                <w:p w14:paraId="6748B3B4"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r>
            <w:tr w:rsidR="00806566" w:rsidRPr="00D61E32" w14:paraId="5E5D374C" w14:textId="77777777">
              <w:trPr>
                <w:trHeight w:val="300"/>
              </w:trPr>
              <w:tc>
                <w:tcPr>
                  <w:tcW w:w="176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368793A9"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SUD % Denied</w:t>
                  </w:r>
                </w:p>
              </w:tc>
              <w:tc>
                <w:tcPr>
                  <w:tcW w:w="1320" w:type="dxa"/>
                  <w:tcBorders>
                    <w:top w:val="nil"/>
                    <w:left w:val="nil"/>
                    <w:bottom w:val="single" w:sz="8" w:space="0" w:color="auto"/>
                    <w:right w:val="single" w:sz="4" w:space="0" w:color="auto"/>
                  </w:tcBorders>
                  <w:shd w:val="clear" w:color="auto" w:fill="B4C6E7"/>
                  <w:noWrap/>
                  <w:vAlign w:val="bottom"/>
                  <w:hideMark/>
                </w:tcPr>
                <w:p w14:paraId="0A389CEE"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c>
                <w:tcPr>
                  <w:tcW w:w="1620" w:type="dxa"/>
                  <w:tcBorders>
                    <w:top w:val="nil"/>
                    <w:left w:val="nil"/>
                    <w:bottom w:val="single" w:sz="8" w:space="0" w:color="auto"/>
                    <w:right w:val="single" w:sz="4" w:space="0" w:color="auto"/>
                  </w:tcBorders>
                  <w:shd w:val="clear" w:color="auto" w:fill="B4C6E7"/>
                  <w:noWrap/>
                  <w:vAlign w:val="bottom"/>
                  <w:hideMark/>
                </w:tcPr>
                <w:p w14:paraId="38E90478"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r>
          </w:tbl>
          <w:p w14:paraId="391F584B" w14:textId="77777777" w:rsidR="00806566" w:rsidRPr="00D61E32" w:rsidRDefault="00806566">
            <w:pPr>
              <w:rPr>
                <w:rFonts w:ascii="Century Gothic" w:eastAsia="Times New Roman" w:hAnsi="Century Gothic" w:cs="Arial"/>
                <w:b/>
                <w:bCs/>
                <w:color w:val="FF0000"/>
              </w:rPr>
            </w:pPr>
          </w:p>
          <w:p w14:paraId="73193700" w14:textId="00A74CAC" w:rsidR="00806566" w:rsidRPr="00E70A33" w:rsidRDefault="00806566">
            <w:pPr>
              <w:rPr>
                <w:rFonts w:ascii="Century Gothic" w:hAnsi="Century Gothic" w:cs="Arial"/>
              </w:rPr>
            </w:pPr>
            <w:r w:rsidRPr="00D61E32">
              <w:rPr>
                <w:rFonts w:ascii="Century Gothic" w:hAnsi="Century Gothic" w:cs="Arial"/>
              </w:rPr>
              <w:t xml:space="preserve">The data above shows that 0% of MH &amp; SUD prior authorizations were denied in both inpatient in-network and out-of-network classifications. This is less stringent compared to the 19% of Med/Surg inpatient in-network prior authorizations denied, </w:t>
            </w:r>
            <w:proofErr w:type="gramStart"/>
            <w:r w:rsidRPr="00D61E32">
              <w:rPr>
                <w:rFonts w:ascii="Century Gothic" w:hAnsi="Century Gothic" w:cs="Arial"/>
              </w:rPr>
              <w:t>and also</w:t>
            </w:r>
            <w:proofErr w:type="gramEnd"/>
            <w:r w:rsidRPr="00D61E32">
              <w:rPr>
                <w:rFonts w:ascii="Century Gothic" w:hAnsi="Century Gothic" w:cs="Arial"/>
              </w:rPr>
              <w:t xml:space="preserve"> to the 67% of Med/Surg inpatient </w:t>
            </w:r>
            <w:proofErr w:type="spellStart"/>
            <w:r w:rsidRPr="00D61E32">
              <w:rPr>
                <w:rFonts w:ascii="Century Gothic" w:hAnsi="Century Gothic" w:cs="Arial"/>
              </w:rPr>
              <w:t>out-of</w:t>
            </w:r>
            <w:proofErr w:type="spellEnd"/>
            <w:r w:rsidRPr="00D61E32">
              <w:rPr>
                <w:rFonts w:ascii="Century Gothic" w:hAnsi="Century Gothic" w:cs="Arial"/>
              </w:rPr>
              <w:t xml:space="preserve"> network prior authorizations denied. Therefore, the percentage of denials for MH/SUD services is comparable to, and not more stringent than, the percentage of denials for Med/Surg prior authorization requests.</w:t>
            </w:r>
          </w:p>
          <w:p w14:paraId="295FF98E" w14:textId="77777777" w:rsidR="00806566" w:rsidRPr="00D61E32" w:rsidRDefault="00806566">
            <w:pPr>
              <w:rPr>
                <w:rFonts w:ascii="Century Gothic" w:hAnsi="Century Gothic" w:cs="Arial"/>
                <w:b/>
                <w:bCs/>
                <w:u w:val="single"/>
              </w:rPr>
            </w:pPr>
            <w:r w:rsidRPr="00D61E32">
              <w:rPr>
                <w:rFonts w:ascii="Century Gothic" w:hAnsi="Century Gothic" w:cs="Arial"/>
                <w:b/>
                <w:bCs/>
                <w:u w:val="single"/>
              </w:rPr>
              <w:t xml:space="preserve">Appeals Data </w:t>
            </w:r>
          </w:p>
          <w:p w14:paraId="61F58E7B" w14:textId="77777777" w:rsidR="00806566" w:rsidRPr="00D61E32" w:rsidRDefault="00806566">
            <w:pPr>
              <w:rPr>
                <w:rFonts w:ascii="Century Gothic" w:hAnsi="Century Gothic" w:cs="Arial"/>
                <w:b/>
                <w:bCs/>
              </w:rPr>
            </w:pPr>
            <w:r w:rsidRPr="00D61E32">
              <w:rPr>
                <w:rFonts w:ascii="Century Gothic" w:hAnsi="Century Gothic" w:cs="Arial"/>
                <w:b/>
                <w:bCs/>
              </w:rPr>
              <w:t>Inpatient</w:t>
            </w:r>
          </w:p>
          <w:tbl>
            <w:tblPr>
              <w:tblW w:w="5280" w:type="dxa"/>
              <w:tblLook w:val="04A0" w:firstRow="1" w:lastRow="0" w:firstColumn="1" w:lastColumn="0" w:noHBand="0" w:noVBand="1"/>
            </w:tblPr>
            <w:tblGrid>
              <w:gridCol w:w="1776"/>
              <w:gridCol w:w="1285"/>
              <w:gridCol w:w="1383"/>
            </w:tblGrid>
            <w:tr w:rsidR="00806566" w:rsidRPr="00D61E32" w14:paraId="66E0CB92" w14:textId="77777777">
              <w:trPr>
                <w:trHeight w:val="290"/>
              </w:trPr>
              <w:tc>
                <w:tcPr>
                  <w:tcW w:w="2120" w:type="dxa"/>
                  <w:tcBorders>
                    <w:top w:val="single" w:sz="4" w:space="0" w:color="auto"/>
                    <w:left w:val="single" w:sz="8" w:space="0" w:color="auto"/>
                    <w:bottom w:val="single" w:sz="4" w:space="0" w:color="auto"/>
                    <w:right w:val="single" w:sz="8" w:space="0" w:color="auto"/>
                  </w:tcBorders>
                  <w:shd w:val="clear" w:color="auto" w:fill="BFBFBF"/>
                  <w:noWrap/>
                  <w:vAlign w:val="bottom"/>
                  <w:hideMark/>
                </w:tcPr>
                <w:p w14:paraId="2467F2FB"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Network</w:t>
                  </w:r>
                </w:p>
              </w:tc>
              <w:tc>
                <w:tcPr>
                  <w:tcW w:w="1520" w:type="dxa"/>
                  <w:tcBorders>
                    <w:top w:val="single" w:sz="4" w:space="0" w:color="auto"/>
                    <w:left w:val="nil"/>
                    <w:bottom w:val="single" w:sz="4" w:space="0" w:color="auto"/>
                    <w:right w:val="single" w:sz="4" w:space="0" w:color="auto"/>
                  </w:tcBorders>
                  <w:shd w:val="clear" w:color="auto" w:fill="D9D9D9"/>
                  <w:noWrap/>
                  <w:vAlign w:val="bottom"/>
                  <w:hideMark/>
                </w:tcPr>
                <w:p w14:paraId="42E1490C"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INN</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14:paraId="57BC1E3C"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OON</w:t>
                  </w:r>
                </w:p>
              </w:tc>
            </w:tr>
            <w:tr w:rsidR="00806566" w:rsidRPr="00D61E32" w14:paraId="28D83068" w14:textId="77777777">
              <w:trPr>
                <w:trHeight w:val="300"/>
              </w:trPr>
              <w:tc>
                <w:tcPr>
                  <w:tcW w:w="2120" w:type="dxa"/>
                  <w:tcBorders>
                    <w:top w:val="nil"/>
                    <w:left w:val="single" w:sz="8" w:space="0" w:color="auto"/>
                    <w:bottom w:val="single" w:sz="8" w:space="0" w:color="auto"/>
                    <w:right w:val="single" w:sz="8" w:space="0" w:color="auto"/>
                  </w:tcBorders>
                  <w:shd w:val="clear" w:color="auto" w:fill="BFBFBF"/>
                  <w:noWrap/>
                  <w:vAlign w:val="bottom"/>
                  <w:hideMark/>
                </w:tcPr>
                <w:p w14:paraId="58EE8FD5"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Auth Type</w:t>
                  </w:r>
                </w:p>
              </w:tc>
              <w:tc>
                <w:tcPr>
                  <w:tcW w:w="1520" w:type="dxa"/>
                  <w:tcBorders>
                    <w:top w:val="nil"/>
                    <w:left w:val="nil"/>
                    <w:bottom w:val="single" w:sz="8" w:space="0" w:color="auto"/>
                    <w:right w:val="single" w:sz="4" w:space="0" w:color="auto"/>
                  </w:tcBorders>
                  <w:shd w:val="clear" w:color="auto" w:fill="D9D9D9"/>
                  <w:noWrap/>
                  <w:vAlign w:val="bottom"/>
                  <w:hideMark/>
                </w:tcPr>
                <w:p w14:paraId="5310B884"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Precert</w:t>
                  </w:r>
                  <w:proofErr w:type="spellEnd"/>
                </w:p>
              </w:tc>
              <w:tc>
                <w:tcPr>
                  <w:tcW w:w="1640" w:type="dxa"/>
                  <w:tcBorders>
                    <w:top w:val="nil"/>
                    <w:left w:val="nil"/>
                    <w:bottom w:val="single" w:sz="8" w:space="0" w:color="auto"/>
                    <w:right w:val="single" w:sz="4" w:space="0" w:color="auto"/>
                  </w:tcBorders>
                  <w:shd w:val="clear" w:color="auto" w:fill="D9D9D9"/>
                  <w:noWrap/>
                  <w:vAlign w:val="bottom"/>
                  <w:hideMark/>
                </w:tcPr>
                <w:p w14:paraId="43838D80" w14:textId="77777777" w:rsidR="00806566" w:rsidRPr="00D61E32" w:rsidRDefault="00806566">
                  <w:pPr>
                    <w:jc w:val="center"/>
                    <w:rPr>
                      <w:rFonts w:ascii="Century Gothic" w:hAnsi="Century Gothic" w:cs="Calibri"/>
                      <w:b/>
                      <w:bCs/>
                      <w:color w:val="000000"/>
                    </w:rPr>
                  </w:pPr>
                  <w:proofErr w:type="spellStart"/>
                  <w:r w:rsidRPr="00D61E32">
                    <w:rPr>
                      <w:rFonts w:ascii="Century Gothic" w:hAnsi="Century Gothic" w:cs="Calibri"/>
                      <w:b/>
                      <w:bCs/>
                      <w:color w:val="000000"/>
                    </w:rPr>
                    <w:t>Precert</w:t>
                  </w:r>
                  <w:proofErr w:type="spellEnd"/>
                </w:p>
              </w:tc>
            </w:tr>
            <w:tr w:rsidR="00806566" w:rsidRPr="00D61E32" w14:paraId="1F8D8656" w14:textId="77777777">
              <w:trPr>
                <w:trHeight w:val="300"/>
              </w:trPr>
              <w:tc>
                <w:tcPr>
                  <w:tcW w:w="2120" w:type="dxa"/>
                  <w:tcBorders>
                    <w:top w:val="nil"/>
                    <w:left w:val="single" w:sz="8" w:space="0" w:color="auto"/>
                    <w:bottom w:val="single" w:sz="8" w:space="0" w:color="auto"/>
                    <w:right w:val="single" w:sz="8" w:space="0" w:color="auto"/>
                  </w:tcBorders>
                  <w:shd w:val="clear" w:color="auto" w:fill="757171"/>
                  <w:noWrap/>
                  <w:vAlign w:val="bottom"/>
                  <w:hideMark/>
                </w:tcPr>
                <w:p w14:paraId="08C5D582"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MH</w:t>
                  </w:r>
                </w:p>
              </w:tc>
              <w:tc>
                <w:tcPr>
                  <w:tcW w:w="1520" w:type="dxa"/>
                  <w:tcBorders>
                    <w:top w:val="nil"/>
                    <w:left w:val="nil"/>
                    <w:bottom w:val="single" w:sz="4" w:space="0" w:color="auto"/>
                    <w:right w:val="single" w:sz="4" w:space="0" w:color="auto"/>
                  </w:tcBorders>
                  <w:shd w:val="clear" w:color="auto" w:fill="757171"/>
                  <w:noWrap/>
                  <w:vAlign w:val="bottom"/>
                  <w:hideMark/>
                </w:tcPr>
                <w:p w14:paraId="289C99E5"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40" w:type="dxa"/>
                  <w:tcBorders>
                    <w:top w:val="nil"/>
                    <w:left w:val="nil"/>
                    <w:bottom w:val="single" w:sz="4" w:space="0" w:color="auto"/>
                    <w:right w:val="single" w:sz="4" w:space="0" w:color="auto"/>
                  </w:tcBorders>
                  <w:shd w:val="clear" w:color="auto" w:fill="757171"/>
                  <w:noWrap/>
                  <w:vAlign w:val="bottom"/>
                  <w:hideMark/>
                </w:tcPr>
                <w:p w14:paraId="1AC8AC7A"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2</w:t>
                  </w:r>
                </w:p>
              </w:tc>
            </w:tr>
            <w:tr w:rsidR="00806566" w:rsidRPr="00D61E32" w14:paraId="536965FB" w14:textId="77777777">
              <w:trPr>
                <w:trHeight w:val="290"/>
              </w:trPr>
              <w:tc>
                <w:tcPr>
                  <w:tcW w:w="2120" w:type="dxa"/>
                  <w:tcBorders>
                    <w:top w:val="nil"/>
                    <w:left w:val="single" w:sz="8" w:space="0" w:color="auto"/>
                    <w:bottom w:val="single" w:sz="4" w:space="0" w:color="auto"/>
                    <w:right w:val="single" w:sz="8" w:space="0" w:color="auto"/>
                  </w:tcBorders>
                  <w:noWrap/>
                  <w:vAlign w:val="bottom"/>
                  <w:hideMark/>
                </w:tcPr>
                <w:p w14:paraId="136745B2"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Denials Upheld</w:t>
                  </w:r>
                </w:p>
              </w:tc>
              <w:tc>
                <w:tcPr>
                  <w:tcW w:w="1520" w:type="dxa"/>
                  <w:tcBorders>
                    <w:top w:val="nil"/>
                    <w:left w:val="nil"/>
                    <w:bottom w:val="single" w:sz="4" w:space="0" w:color="auto"/>
                    <w:right w:val="single" w:sz="4" w:space="0" w:color="auto"/>
                  </w:tcBorders>
                  <w:noWrap/>
                  <w:vAlign w:val="bottom"/>
                  <w:hideMark/>
                </w:tcPr>
                <w:p w14:paraId="7BE976D5"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40" w:type="dxa"/>
                  <w:tcBorders>
                    <w:top w:val="nil"/>
                    <w:left w:val="nil"/>
                    <w:bottom w:val="single" w:sz="4" w:space="0" w:color="auto"/>
                    <w:right w:val="single" w:sz="4" w:space="0" w:color="auto"/>
                  </w:tcBorders>
                  <w:noWrap/>
                  <w:vAlign w:val="bottom"/>
                  <w:hideMark/>
                </w:tcPr>
                <w:p w14:paraId="4680B9EC"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2</w:t>
                  </w:r>
                </w:p>
              </w:tc>
            </w:tr>
            <w:tr w:rsidR="00806566" w:rsidRPr="00D61E32" w14:paraId="00AB0F3E" w14:textId="77777777">
              <w:trPr>
                <w:trHeight w:val="290"/>
              </w:trPr>
              <w:tc>
                <w:tcPr>
                  <w:tcW w:w="2120" w:type="dxa"/>
                  <w:tcBorders>
                    <w:top w:val="nil"/>
                    <w:left w:val="single" w:sz="8" w:space="0" w:color="auto"/>
                    <w:bottom w:val="single" w:sz="4" w:space="0" w:color="auto"/>
                    <w:right w:val="single" w:sz="8" w:space="0" w:color="auto"/>
                  </w:tcBorders>
                  <w:noWrap/>
                  <w:vAlign w:val="bottom"/>
                  <w:hideMark/>
                </w:tcPr>
                <w:p w14:paraId="0D7A2075"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Denials Overturned</w:t>
                  </w:r>
                </w:p>
              </w:tc>
              <w:tc>
                <w:tcPr>
                  <w:tcW w:w="1520" w:type="dxa"/>
                  <w:tcBorders>
                    <w:top w:val="nil"/>
                    <w:left w:val="nil"/>
                    <w:bottom w:val="single" w:sz="4" w:space="0" w:color="auto"/>
                    <w:right w:val="single" w:sz="4" w:space="0" w:color="auto"/>
                  </w:tcBorders>
                  <w:noWrap/>
                  <w:vAlign w:val="bottom"/>
                  <w:hideMark/>
                </w:tcPr>
                <w:p w14:paraId="213BECEA"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40" w:type="dxa"/>
                  <w:tcBorders>
                    <w:top w:val="nil"/>
                    <w:left w:val="nil"/>
                    <w:bottom w:val="single" w:sz="4" w:space="0" w:color="auto"/>
                    <w:right w:val="single" w:sz="4" w:space="0" w:color="auto"/>
                  </w:tcBorders>
                  <w:noWrap/>
                  <w:vAlign w:val="bottom"/>
                  <w:hideMark/>
                </w:tcPr>
                <w:p w14:paraId="12FCA0A2"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r>
            <w:tr w:rsidR="00806566" w:rsidRPr="00D61E32" w14:paraId="04D7E2E2" w14:textId="77777777">
              <w:trPr>
                <w:trHeight w:val="300"/>
              </w:trPr>
              <w:tc>
                <w:tcPr>
                  <w:tcW w:w="2120" w:type="dxa"/>
                  <w:tcBorders>
                    <w:top w:val="nil"/>
                    <w:left w:val="single" w:sz="8" w:space="0" w:color="auto"/>
                    <w:bottom w:val="nil"/>
                    <w:right w:val="single" w:sz="8" w:space="0" w:color="auto"/>
                  </w:tcBorders>
                  <w:shd w:val="clear" w:color="auto" w:fill="B4C6E7"/>
                  <w:noWrap/>
                  <w:vAlign w:val="bottom"/>
                  <w:hideMark/>
                </w:tcPr>
                <w:p w14:paraId="3D746D54"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MH % Upheld</w:t>
                  </w:r>
                </w:p>
              </w:tc>
              <w:tc>
                <w:tcPr>
                  <w:tcW w:w="1520" w:type="dxa"/>
                  <w:tcBorders>
                    <w:top w:val="nil"/>
                    <w:left w:val="nil"/>
                    <w:bottom w:val="single" w:sz="8" w:space="0" w:color="auto"/>
                    <w:right w:val="single" w:sz="4" w:space="0" w:color="auto"/>
                  </w:tcBorders>
                  <w:shd w:val="clear" w:color="auto" w:fill="B4C6E7"/>
                  <w:noWrap/>
                  <w:vAlign w:val="bottom"/>
                  <w:hideMark/>
                </w:tcPr>
                <w:p w14:paraId="36930503"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c>
                <w:tcPr>
                  <w:tcW w:w="1640" w:type="dxa"/>
                  <w:tcBorders>
                    <w:top w:val="nil"/>
                    <w:left w:val="nil"/>
                    <w:bottom w:val="single" w:sz="8" w:space="0" w:color="auto"/>
                    <w:right w:val="single" w:sz="4" w:space="0" w:color="auto"/>
                  </w:tcBorders>
                  <w:shd w:val="clear" w:color="auto" w:fill="B4C6E7"/>
                  <w:noWrap/>
                  <w:vAlign w:val="bottom"/>
                  <w:hideMark/>
                </w:tcPr>
                <w:p w14:paraId="41340CB2"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100%</w:t>
                  </w:r>
                </w:p>
              </w:tc>
            </w:tr>
            <w:tr w:rsidR="00806566" w:rsidRPr="00D61E32" w14:paraId="3A7A55DC" w14:textId="77777777">
              <w:trPr>
                <w:trHeight w:val="300"/>
              </w:trPr>
              <w:tc>
                <w:tcPr>
                  <w:tcW w:w="2120" w:type="dxa"/>
                  <w:tcBorders>
                    <w:top w:val="single" w:sz="8" w:space="0" w:color="auto"/>
                    <w:left w:val="single" w:sz="8" w:space="0" w:color="auto"/>
                    <w:bottom w:val="single" w:sz="8" w:space="0" w:color="auto"/>
                    <w:right w:val="single" w:sz="8" w:space="0" w:color="auto"/>
                  </w:tcBorders>
                  <w:shd w:val="clear" w:color="auto" w:fill="757171"/>
                  <w:noWrap/>
                  <w:vAlign w:val="bottom"/>
                  <w:hideMark/>
                </w:tcPr>
                <w:p w14:paraId="69279FE3"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SUD</w:t>
                  </w:r>
                </w:p>
              </w:tc>
              <w:tc>
                <w:tcPr>
                  <w:tcW w:w="1520" w:type="dxa"/>
                  <w:tcBorders>
                    <w:top w:val="nil"/>
                    <w:left w:val="nil"/>
                    <w:bottom w:val="single" w:sz="4" w:space="0" w:color="auto"/>
                    <w:right w:val="single" w:sz="4" w:space="0" w:color="auto"/>
                  </w:tcBorders>
                  <w:shd w:val="clear" w:color="auto" w:fill="757171"/>
                  <w:noWrap/>
                  <w:vAlign w:val="bottom"/>
                  <w:hideMark/>
                </w:tcPr>
                <w:p w14:paraId="302DB29D"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40" w:type="dxa"/>
                  <w:tcBorders>
                    <w:top w:val="nil"/>
                    <w:left w:val="nil"/>
                    <w:bottom w:val="single" w:sz="4" w:space="0" w:color="auto"/>
                    <w:right w:val="single" w:sz="4" w:space="0" w:color="auto"/>
                  </w:tcBorders>
                  <w:shd w:val="clear" w:color="auto" w:fill="757171"/>
                  <w:noWrap/>
                  <w:vAlign w:val="bottom"/>
                  <w:hideMark/>
                </w:tcPr>
                <w:p w14:paraId="642A0122"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r>
            <w:tr w:rsidR="00806566" w:rsidRPr="00D61E32" w14:paraId="7896A38B" w14:textId="77777777">
              <w:trPr>
                <w:trHeight w:val="290"/>
              </w:trPr>
              <w:tc>
                <w:tcPr>
                  <w:tcW w:w="2120" w:type="dxa"/>
                  <w:tcBorders>
                    <w:top w:val="nil"/>
                    <w:left w:val="single" w:sz="8" w:space="0" w:color="auto"/>
                    <w:bottom w:val="single" w:sz="4" w:space="0" w:color="auto"/>
                    <w:right w:val="single" w:sz="8" w:space="0" w:color="auto"/>
                  </w:tcBorders>
                  <w:noWrap/>
                  <w:vAlign w:val="bottom"/>
                  <w:hideMark/>
                </w:tcPr>
                <w:p w14:paraId="023CB0F7"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Denials Upheld</w:t>
                  </w:r>
                </w:p>
              </w:tc>
              <w:tc>
                <w:tcPr>
                  <w:tcW w:w="1520" w:type="dxa"/>
                  <w:tcBorders>
                    <w:top w:val="nil"/>
                    <w:left w:val="nil"/>
                    <w:bottom w:val="single" w:sz="4" w:space="0" w:color="auto"/>
                    <w:right w:val="single" w:sz="4" w:space="0" w:color="auto"/>
                  </w:tcBorders>
                  <w:noWrap/>
                  <w:vAlign w:val="bottom"/>
                  <w:hideMark/>
                </w:tcPr>
                <w:p w14:paraId="6D5DB79D"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40" w:type="dxa"/>
                  <w:tcBorders>
                    <w:top w:val="nil"/>
                    <w:left w:val="nil"/>
                    <w:bottom w:val="single" w:sz="4" w:space="0" w:color="auto"/>
                    <w:right w:val="single" w:sz="4" w:space="0" w:color="auto"/>
                  </w:tcBorders>
                  <w:noWrap/>
                  <w:vAlign w:val="bottom"/>
                  <w:hideMark/>
                </w:tcPr>
                <w:p w14:paraId="3F59F19B"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r>
            <w:tr w:rsidR="00806566" w:rsidRPr="00D61E32" w14:paraId="268BE876" w14:textId="77777777">
              <w:trPr>
                <w:trHeight w:val="300"/>
              </w:trPr>
              <w:tc>
                <w:tcPr>
                  <w:tcW w:w="2120" w:type="dxa"/>
                  <w:tcBorders>
                    <w:top w:val="nil"/>
                    <w:left w:val="single" w:sz="8" w:space="0" w:color="auto"/>
                    <w:bottom w:val="nil"/>
                    <w:right w:val="single" w:sz="8" w:space="0" w:color="auto"/>
                  </w:tcBorders>
                  <w:noWrap/>
                  <w:vAlign w:val="bottom"/>
                  <w:hideMark/>
                </w:tcPr>
                <w:p w14:paraId="460CFC57"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Denials Overturned</w:t>
                  </w:r>
                </w:p>
              </w:tc>
              <w:tc>
                <w:tcPr>
                  <w:tcW w:w="1520" w:type="dxa"/>
                  <w:tcBorders>
                    <w:top w:val="nil"/>
                    <w:left w:val="nil"/>
                    <w:bottom w:val="single" w:sz="4" w:space="0" w:color="auto"/>
                    <w:right w:val="single" w:sz="4" w:space="0" w:color="auto"/>
                  </w:tcBorders>
                  <w:noWrap/>
                  <w:vAlign w:val="bottom"/>
                  <w:hideMark/>
                </w:tcPr>
                <w:p w14:paraId="7B395E5C"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c>
                <w:tcPr>
                  <w:tcW w:w="1640" w:type="dxa"/>
                  <w:tcBorders>
                    <w:top w:val="nil"/>
                    <w:left w:val="nil"/>
                    <w:bottom w:val="single" w:sz="4" w:space="0" w:color="auto"/>
                    <w:right w:val="single" w:sz="4" w:space="0" w:color="auto"/>
                  </w:tcBorders>
                  <w:noWrap/>
                  <w:vAlign w:val="bottom"/>
                  <w:hideMark/>
                </w:tcPr>
                <w:p w14:paraId="62E5D792" w14:textId="77777777" w:rsidR="00806566" w:rsidRPr="00D61E32" w:rsidRDefault="00806566">
                  <w:pPr>
                    <w:jc w:val="center"/>
                    <w:rPr>
                      <w:rFonts w:ascii="Century Gothic" w:hAnsi="Century Gothic" w:cs="Calibri"/>
                      <w:color w:val="000000"/>
                    </w:rPr>
                  </w:pPr>
                  <w:r w:rsidRPr="00D61E32">
                    <w:rPr>
                      <w:rFonts w:ascii="Century Gothic" w:hAnsi="Century Gothic" w:cs="Calibri"/>
                      <w:color w:val="000000"/>
                    </w:rPr>
                    <w:t>0</w:t>
                  </w:r>
                </w:p>
              </w:tc>
            </w:tr>
            <w:tr w:rsidR="00806566" w:rsidRPr="00D61E32" w14:paraId="0BFC15E7" w14:textId="77777777">
              <w:trPr>
                <w:trHeight w:val="300"/>
              </w:trPr>
              <w:tc>
                <w:tcPr>
                  <w:tcW w:w="212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6061CA56"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SUD % Upheld</w:t>
                  </w:r>
                </w:p>
              </w:tc>
              <w:tc>
                <w:tcPr>
                  <w:tcW w:w="1520" w:type="dxa"/>
                  <w:tcBorders>
                    <w:top w:val="nil"/>
                    <w:left w:val="nil"/>
                    <w:bottom w:val="single" w:sz="8" w:space="0" w:color="auto"/>
                    <w:right w:val="single" w:sz="4" w:space="0" w:color="auto"/>
                  </w:tcBorders>
                  <w:shd w:val="clear" w:color="auto" w:fill="B4C6E7"/>
                  <w:noWrap/>
                  <w:vAlign w:val="bottom"/>
                  <w:hideMark/>
                </w:tcPr>
                <w:p w14:paraId="229C2C6C"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c>
                <w:tcPr>
                  <w:tcW w:w="1640" w:type="dxa"/>
                  <w:tcBorders>
                    <w:top w:val="nil"/>
                    <w:left w:val="nil"/>
                    <w:bottom w:val="single" w:sz="8" w:space="0" w:color="auto"/>
                    <w:right w:val="single" w:sz="4" w:space="0" w:color="auto"/>
                  </w:tcBorders>
                  <w:shd w:val="clear" w:color="auto" w:fill="B4C6E7"/>
                  <w:noWrap/>
                  <w:vAlign w:val="bottom"/>
                  <w:hideMark/>
                </w:tcPr>
                <w:p w14:paraId="5C60E348" w14:textId="77777777" w:rsidR="00806566" w:rsidRPr="00D61E32" w:rsidRDefault="00806566">
                  <w:pPr>
                    <w:jc w:val="center"/>
                    <w:rPr>
                      <w:rFonts w:ascii="Century Gothic" w:hAnsi="Century Gothic" w:cs="Calibri"/>
                      <w:b/>
                      <w:bCs/>
                      <w:color w:val="000000"/>
                    </w:rPr>
                  </w:pPr>
                  <w:r w:rsidRPr="00D61E32">
                    <w:rPr>
                      <w:rFonts w:ascii="Century Gothic" w:hAnsi="Century Gothic" w:cs="Calibri"/>
                      <w:b/>
                      <w:bCs/>
                      <w:color w:val="000000"/>
                    </w:rPr>
                    <w:t>0%</w:t>
                  </w:r>
                </w:p>
              </w:tc>
            </w:tr>
          </w:tbl>
          <w:p w14:paraId="60E1031A" w14:textId="77777777" w:rsidR="00806566" w:rsidRPr="00D61E32" w:rsidRDefault="00806566">
            <w:pPr>
              <w:rPr>
                <w:rFonts w:ascii="Century Gothic" w:eastAsia="Times New Roman" w:hAnsi="Century Gothic" w:cs="Arial"/>
                <w:color w:val="FF0000"/>
              </w:rPr>
            </w:pPr>
          </w:p>
          <w:p w14:paraId="3340E186" w14:textId="77777777" w:rsidR="00806566" w:rsidRPr="00D61E32" w:rsidRDefault="00806566">
            <w:pPr>
              <w:rPr>
                <w:rFonts w:ascii="Century Gothic" w:hAnsi="Century Gothic" w:cs="Arial"/>
                <w:bCs/>
                <w:iCs/>
                <w:color w:val="FF0000"/>
              </w:rPr>
            </w:pPr>
            <w:r w:rsidRPr="00D61E32">
              <w:rPr>
                <w:rFonts w:ascii="Century Gothic" w:hAnsi="Century Gothic" w:cs="Arial"/>
                <w:bCs/>
                <w:iCs/>
              </w:rPr>
              <w:t xml:space="preserve">The data above shows all MHSUD denials upheld. This is less stringent compared to the denial overturned for </w:t>
            </w:r>
            <w:proofErr w:type="spellStart"/>
            <w:r w:rsidRPr="00D61E32">
              <w:rPr>
                <w:rFonts w:ascii="Century Gothic" w:hAnsi="Century Gothic" w:cs="Arial"/>
                <w:bCs/>
                <w:iCs/>
              </w:rPr>
              <w:t>MedSurg</w:t>
            </w:r>
            <w:proofErr w:type="spellEnd"/>
            <w:r w:rsidRPr="00D61E32">
              <w:rPr>
                <w:rFonts w:ascii="Century Gothic" w:hAnsi="Century Gothic" w:cs="Arial"/>
                <w:bCs/>
                <w:iCs/>
              </w:rPr>
              <w:t xml:space="preserve">. The MHSUD services are comparable and less stringent than that of </w:t>
            </w:r>
            <w:proofErr w:type="spellStart"/>
            <w:r w:rsidRPr="00D61E32">
              <w:rPr>
                <w:rFonts w:ascii="Century Gothic" w:hAnsi="Century Gothic" w:cs="Arial"/>
                <w:bCs/>
                <w:iCs/>
              </w:rPr>
              <w:t>MedSurg</w:t>
            </w:r>
            <w:proofErr w:type="spellEnd"/>
            <w:r w:rsidRPr="00D61E32">
              <w:rPr>
                <w:rFonts w:ascii="Century Gothic" w:hAnsi="Century Gothic" w:cs="Arial"/>
                <w:bCs/>
                <w:iCs/>
              </w:rPr>
              <w:t xml:space="preserve">. </w:t>
            </w:r>
          </w:p>
        </w:tc>
        <w:bookmarkEnd w:id="6"/>
      </w:tr>
      <w:bookmarkEnd w:id="7"/>
      <w:tr w:rsidR="00806566" w:rsidRPr="00D61E32" w14:paraId="3658D0A5" w14:textId="77777777" w:rsidTr="00CE4315">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9BCCA" w14:textId="77777777" w:rsidR="00806566" w:rsidRPr="00D61E32" w:rsidRDefault="00806566">
            <w:pPr>
              <w:rPr>
                <w:rFonts w:ascii="Century Gothic" w:hAnsi="Century Gothic" w:cs="Arial"/>
                <w:b/>
                <w:bCs/>
              </w:rPr>
            </w:pPr>
            <w:r w:rsidRPr="00D61E32">
              <w:rPr>
                <w:rFonts w:ascii="Century Gothic" w:hAnsi="Century Gothic" w:cs="Arial"/>
                <w:b/>
                <w:bCs/>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D61E32">
              <w:rPr>
                <w:rFonts w:ascii="Century Gothic" w:hAnsi="Century Gothic" w:cs="Arial"/>
                <w:b/>
                <w:bCs/>
              </w:rPr>
              <w:t>section</w:t>
            </w:r>
            <w:proofErr w:type="gramEnd"/>
          </w:p>
          <w:p w14:paraId="76BC7170" w14:textId="77777777" w:rsidR="00806566" w:rsidRPr="00D61E32" w:rsidRDefault="00806566" w:rsidP="00806566">
            <w:pPr>
              <w:pStyle w:val="ListParagraph"/>
              <w:numPr>
                <w:ilvl w:val="0"/>
                <w:numId w:val="20"/>
              </w:numPr>
              <w:spacing w:after="0" w:line="240" w:lineRule="auto"/>
              <w:rPr>
                <w:rFonts w:ascii="Century Gothic" w:hAnsi="Century Gothic" w:cs="Arial"/>
                <w:bCs/>
                <w:i/>
              </w:rPr>
            </w:pPr>
            <w:r w:rsidRPr="00D61E32">
              <w:rPr>
                <w:rFonts w:ascii="Century Gothic" w:hAnsi="Century Gothic" w:cs="Arial"/>
                <w:bCs/>
                <w:i/>
              </w:rPr>
              <w:t>This discussion should include citations to any specific evidence considered and any results of analyses indicating that the plan or coverage is or is not in compliance with MHPAEA</w:t>
            </w:r>
            <w:r w:rsidRPr="00D61E32">
              <w:rPr>
                <w:rStyle w:val="FootnoteReference"/>
                <w:rFonts w:ascii="Century Gothic" w:hAnsi="Century Gothic" w:cs="Arial"/>
                <w:bCs/>
                <w:i/>
              </w:rPr>
              <w:footnoteReference w:id="22"/>
            </w:r>
          </w:p>
        </w:tc>
      </w:tr>
      <w:tr w:rsidR="00806566" w:rsidRPr="00D61E32" w14:paraId="7306E3C2" w14:textId="77777777" w:rsidTr="00CE4315">
        <w:trPr>
          <w:trHeight w:val="872"/>
        </w:trPr>
        <w:tc>
          <w:tcPr>
            <w:tcW w:w="5000" w:type="pct"/>
            <w:gridSpan w:val="2"/>
            <w:tcBorders>
              <w:top w:val="single" w:sz="4" w:space="0" w:color="auto"/>
              <w:left w:val="single" w:sz="4" w:space="0" w:color="auto"/>
              <w:bottom w:val="single" w:sz="4" w:space="0" w:color="auto"/>
              <w:right w:val="single" w:sz="4" w:space="0" w:color="auto"/>
            </w:tcBorders>
          </w:tcPr>
          <w:p w14:paraId="795BBC69" w14:textId="2D3518BC" w:rsidR="00806566" w:rsidRPr="00D61E32" w:rsidRDefault="00806566">
            <w:pPr>
              <w:ind w:right="216"/>
              <w:jc w:val="both"/>
              <w:textAlignment w:val="baseline"/>
              <w:rPr>
                <w:rFonts w:ascii="Century Gothic" w:eastAsia="Arial" w:hAnsi="Century Gothic" w:cs="Arial"/>
              </w:rPr>
            </w:pPr>
            <w:r w:rsidRPr="00D61E32">
              <w:rPr>
                <w:rFonts w:ascii="Century Gothic" w:eastAsia="Arial" w:hAnsi="Century Gothic" w:cs="Arial"/>
                <w:b/>
              </w:rPr>
              <w:t xml:space="preserve">As written: </w:t>
            </w:r>
            <w:r w:rsidRPr="00D61E32">
              <w:rPr>
                <w:rFonts w:ascii="Century Gothic" w:eastAsia="Arial" w:hAnsi="Century Gothic" w:cs="Arial"/>
              </w:rPr>
              <w:t xml:space="preserve">All sources, evidentiary standards, and other factors used to apply PA to MH/SUD benefits, </w:t>
            </w:r>
            <w:r w:rsidRPr="00D61E32">
              <w:rPr>
                <w:rFonts w:ascii="Century Gothic" w:eastAsia="Arial" w:hAnsi="Century Gothic" w:cs="Arial"/>
                <w:i/>
              </w:rPr>
              <w:t>as written</w:t>
            </w:r>
            <w:r w:rsidRPr="00D61E32">
              <w:rPr>
                <w:rFonts w:ascii="Century Gothic" w:eastAsia="Arial" w:hAnsi="Century Gothic" w:cs="Arial"/>
              </w:rPr>
              <w:t xml:space="preserve">, are </w:t>
            </w:r>
            <w:r w:rsidRPr="00D61E32">
              <w:rPr>
                <w:rFonts w:ascii="Century Gothic" w:eastAsia="Arial" w:hAnsi="Century Gothic" w:cs="Arial"/>
                <w:u w:val="single"/>
              </w:rPr>
              <w:t>the same</w:t>
            </w:r>
            <w:r w:rsidRPr="00D61E32">
              <w:rPr>
                <w:rFonts w:ascii="Century Gothic" w:eastAsia="Arial" w:hAnsi="Century Gothic" w:cs="Arial"/>
              </w:rPr>
              <w:t xml:space="preserve"> as the sources, evidentiary standards, and other factors used to apply PA to M/S benefits in the classification </w:t>
            </w:r>
            <w:r w:rsidRPr="00D61E32">
              <w:rPr>
                <w:rFonts w:ascii="Century Gothic" w:eastAsia="Arial" w:hAnsi="Century Gothic" w:cs="Arial"/>
                <w:i/>
              </w:rPr>
              <w:t>as written</w:t>
            </w:r>
            <w:r w:rsidRPr="00D61E32">
              <w:rPr>
                <w:rFonts w:ascii="Century Gothic" w:eastAsia="Arial" w:hAnsi="Century Gothic" w:cs="Arial"/>
              </w:rPr>
              <w:t>.</w:t>
            </w:r>
          </w:p>
          <w:p w14:paraId="7EBB1648" w14:textId="6902AB41" w:rsidR="00806566" w:rsidRPr="00D61E32" w:rsidRDefault="00806566">
            <w:pPr>
              <w:ind w:right="216"/>
              <w:jc w:val="both"/>
              <w:textAlignment w:val="baseline"/>
              <w:rPr>
                <w:rFonts w:ascii="Century Gothic" w:eastAsia="Arial" w:hAnsi="Century Gothic" w:cs="Arial"/>
              </w:rPr>
            </w:pPr>
            <w:r w:rsidRPr="00D61E32">
              <w:rPr>
                <w:rFonts w:ascii="Century Gothic" w:eastAsia="Arial" w:hAnsi="Century Gothic" w:cs="Arial"/>
              </w:rPr>
              <w:t xml:space="preserve">Cigna has assessed several components of its utilization management program for NQTL compliance, including the methodology for determining which services will be subject to utilization management, the process for reviewing utilization management requests, and the process for applying coverage criteria. A review of Cigna’s written policies and processes reveals the comparable process by which MH/SUD and M/S services are selected for application of prior authorization within the applicable benefit classification the </w:t>
            </w:r>
            <w:proofErr w:type="gramStart"/>
            <w:r w:rsidRPr="00D61E32">
              <w:rPr>
                <w:rFonts w:ascii="Century Gothic" w:eastAsia="Arial" w:hAnsi="Century Gothic" w:cs="Arial"/>
              </w:rPr>
              <w:t>evidences</w:t>
            </w:r>
            <w:proofErr w:type="gramEnd"/>
            <w:r w:rsidRPr="00D61E32">
              <w:rPr>
                <w:rFonts w:ascii="Century Gothic" w:eastAsia="Arial" w:hAnsi="Century Gothic" w:cs="Arial"/>
              </w:rPr>
              <w:t xml:space="preserve"> comparability and equivalent stringency in-writing and in-operation.</w:t>
            </w:r>
          </w:p>
          <w:p w14:paraId="06BD4DA6" w14:textId="4EE1AD05" w:rsidR="00806566" w:rsidRPr="00D61E32" w:rsidRDefault="00806566">
            <w:pPr>
              <w:ind w:right="216"/>
              <w:jc w:val="both"/>
              <w:textAlignment w:val="baseline"/>
              <w:rPr>
                <w:rFonts w:ascii="Century Gothic" w:eastAsia="Arial" w:hAnsi="Century Gothic" w:cs="Arial"/>
              </w:rPr>
            </w:pPr>
            <w:r w:rsidRPr="00D61E32">
              <w:rPr>
                <w:rFonts w:ascii="Century Gothic" w:eastAsia="Arial" w:hAnsi="Century Gothic" w:cs="Arial"/>
              </w:rPr>
              <w:t xml:space="preserve">First, a committee of Cigna-employed Medical Directors determines which M/S and MH/SUD services shall be subject to prior authorization or concurrent review. To the extent any MH/SUD services within the inpatient classification is considered for inclusion on the “precertification list” a Cigna-employed Medical Director with former practice experience as a psychiatrist and expertise in, and dedicated support for, behavioral health matters is consulted to ensure appropriate evaluation of MH/SUD services that may be considered for application of prior authorization and concurrent review.  </w:t>
            </w:r>
          </w:p>
          <w:p w14:paraId="0D7C2B0B" w14:textId="42B76578" w:rsidR="00806566" w:rsidRPr="00D61E32" w:rsidRDefault="00806566">
            <w:pPr>
              <w:ind w:right="216"/>
              <w:jc w:val="both"/>
              <w:textAlignment w:val="baseline"/>
              <w:rPr>
                <w:rFonts w:ascii="Century Gothic" w:eastAsia="Arial" w:hAnsi="Century Gothic" w:cs="Arial"/>
              </w:rPr>
            </w:pPr>
            <w:r w:rsidRPr="00D61E32">
              <w:rPr>
                <w:rFonts w:ascii="Century Gothic" w:eastAsia="Arial" w:hAnsi="Century Gothic" w:cs="Arial"/>
              </w:rPr>
              <w:t xml:space="preserve">Cigna's MTAC – which includes representation across </w:t>
            </w:r>
            <w:proofErr w:type="gramStart"/>
            <w:r w:rsidRPr="00D61E32">
              <w:rPr>
                <w:rFonts w:ascii="Century Gothic" w:eastAsia="Arial" w:hAnsi="Century Gothic" w:cs="Arial"/>
              </w:rPr>
              <w:t>a number of</w:t>
            </w:r>
            <w:proofErr w:type="gramEnd"/>
            <w:r w:rsidRPr="00D61E32">
              <w:rPr>
                <w:rFonts w:ascii="Century Gothic" w:eastAsia="Arial" w:hAnsi="Century Gothic" w:cs="Arial"/>
              </w:rPr>
              <w:t xml:space="preserve"> disciplines, including MH/SUD expertise – approves any implementation of, or changes to, coverage policies used to make medical necessity determinations to ensure the appropriateness of the same.  The inclusion of appropriate representation of MH/SUD expertise in the coverage policy development process ensures that coverage policies for MH/SUD benefits appropriately incorporate </w:t>
            </w:r>
            <w:proofErr w:type="gramStart"/>
            <w:r w:rsidRPr="00D61E32">
              <w:rPr>
                <w:rFonts w:ascii="Century Gothic" w:eastAsia="Arial" w:hAnsi="Century Gothic" w:cs="Arial"/>
              </w:rPr>
              <w:t>generally-accepted</w:t>
            </w:r>
            <w:proofErr w:type="gramEnd"/>
            <w:r w:rsidRPr="00D61E32">
              <w:rPr>
                <w:rFonts w:ascii="Century Gothic" w:eastAsia="Arial" w:hAnsi="Century Gothic" w:cs="Arial"/>
              </w:rPr>
              <w:t xml:space="preserve"> standards of practice, including consideration of type or duration of treatment or level of care for patients with specific MH/SUD conditions.  </w:t>
            </w:r>
          </w:p>
          <w:p w14:paraId="69A2564A" w14:textId="10BC7F78" w:rsidR="00806566" w:rsidRPr="00D61E32" w:rsidRDefault="00806566">
            <w:pPr>
              <w:ind w:right="216"/>
              <w:jc w:val="both"/>
              <w:textAlignment w:val="baseline"/>
              <w:rPr>
                <w:rFonts w:ascii="Century Gothic" w:eastAsia="Arial" w:hAnsi="Century Gothic" w:cs="Arial"/>
              </w:rPr>
            </w:pPr>
            <w:r w:rsidRPr="00D61E32">
              <w:rPr>
                <w:rFonts w:ascii="Century Gothic" w:eastAsia="Arial" w:hAnsi="Century Gothic" w:cs="Arial"/>
              </w:rPr>
              <w:t xml:space="preserve">Comparable representation of expertise in MH/SUD services is therefore ensured to the extent any MH/SUD benefits may be considered for inclusion on the precertification list, thus ensuring comparable reviews of MH/SUD benefits.  Moreover, the list of services subject to prior authorization and concurrent review is reviewed no less frequently than annually to determine if any services, whether MH/SUD or M/S, should be removed or added to the list, so the frequency of review of the continued appropriateness of application of prior authorization is comparable across MH/SUD and M/S benefits.  </w:t>
            </w:r>
          </w:p>
          <w:p w14:paraId="5A241242" w14:textId="11569533" w:rsidR="00806566" w:rsidRPr="00D61E32" w:rsidRDefault="00806566">
            <w:pPr>
              <w:ind w:right="216"/>
              <w:jc w:val="both"/>
              <w:textAlignment w:val="baseline"/>
              <w:rPr>
                <w:rFonts w:ascii="Century Gothic" w:eastAsia="Arial" w:hAnsi="Century Gothic" w:cs="Arial"/>
              </w:rPr>
            </w:pPr>
            <w:r w:rsidRPr="00D61E32">
              <w:rPr>
                <w:rFonts w:ascii="Century Gothic" w:eastAsia="Arial" w:hAnsi="Century Gothic" w:cs="Arial"/>
              </w:rPr>
              <w:t>Cigna does not use different factors or evidentiary standards, or use the same factor and evidentiary standard differently, when reviewing MH/SUD and M/S benefits for continued inclusion on the prior authorization list. Because the benefit or value of conducting pre-service review of the treatment type outweighs the administrative costs associated with conducting the review, the treatment type is subject to pre-service medical necessity review (prior authorization).</w:t>
            </w:r>
          </w:p>
          <w:p w14:paraId="28412CCA" w14:textId="41A670E9" w:rsidR="00806566" w:rsidRPr="00D61E32" w:rsidRDefault="00806566">
            <w:pPr>
              <w:ind w:right="216"/>
              <w:jc w:val="both"/>
              <w:textAlignment w:val="baseline"/>
              <w:rPr>
                <w:rFonts w:ascii="Century Gothic" w:eastAsia="Arial" w:hAnsi="Century Gothic" w:cs="Arial"/>
              </w:rPr>
            </w:pPr>
            <w:r w:rsidRPr="00D61E32">
              <w:rPr>
                <w:rFonts w:ascii="Century Gothic" w:eastAsia="Arial" w:hAnsi="Century Gothic" w:cs="Arial"/>
                <w:b/>
              </w:rPr>
              <w:t xml:space="preserve">In Operation: </w:t>
            </w:r>
            <w:bookmarkStart w:id="10" w:name="OLE_LINK9"/>
            <w:r w:rsidRPr="00D61E32">
              <w:rPr>
                <w:rFonts w:ascii="Century Gothic" w:eastAsia="Arial" w:hAnsi="Century Gothic" w:cs="Arial"/>
                <w:bCs/>
              </w:rPr>
              <w:t xml:space="preserve">As demonstrated by the data outlined in Step 4(b), </w:t>
            </w:r>
            <w:r w:rsidRPr="00D61E32">
              <w:rPr>
                <w:rFonts w:ascii="Century Gothic" w:eastAsia="Arial" w:hAnsi="Century Gothic" w:cs="Arial"/>
              </w:rPr>
              <w:t>an “in operation” review of Wellfleet Cigna’s application of the Prior Authorization NQTL,</w:t>
            </w:r>
            <w:r w:rsidRPr="00D61E32">
              <w:rPr>
                <w:rFonts w:ascii="Century Gothic" w:eastAsia="Arial" w:hAnsi="Century Gothic" w:cs="Arial"/>
                <w:color w:val="FF0000"/>
              </w:rPr>
              <w:t xml:space="preserve"> </w:t>
            </w:r>
            <w:r w:rsidRPr="00D61E32">
              <w:rPr>
                <w:rFonts w:ascii="Century Gothic" w:eastAsia="Arial" w:hAnsi="Century Gothic" w:cs="Arial"/>
              </w:rPr>
              <w:t>specifically approvals and denial information, in the inpatient classification revealed no statistically significant discrepancies in denial rates between MH/SUD and M/S benefits.  While operational outcomes are not determinative of NQTL compliance, and an insurer may comply with the NQTL requirement notwithstanding a disparate outcome for an NQTL applied to MH/SUD benefits as compared to M/S benefits, comparable outcomes can help evidence compliance with the in-operation component of the NQTL requirement. Consequently, Cigna concludes that the NQTL was applied comparably and no more stringently to MH/SUD benefits than to M/S benefits.</w:t>
            </w:r>
            <w:bookmarkEnd w:id="10"/>
          </w:p>
          <w:p w14:paraId="67600770" w14:textId="77777777" w:rsidR="00806566" w:rsidRPr="00D61E32" w:rsidRDefault="00806566">
            <w:pPr>
              <w:ind w:right="216"/>
              <w:jc w:val="both"/>
              <w:textAlignment w:val="baseline"/>
              <w:rPr>
                <w:rFonts w:ascii="Century Gothic" w:eastAsia="Arial" w:hAnsi="Century Gothic" w:cs="Arial"/>
                <w:i/>
                <w:iCs/>
              </w:rPr>
            </w:pPr>
            <w:r w:rsidRPr="00D61E32">
              <w:rPr>
                <w:rFonts w:ascii="Century Gothic" w:eastAsia="Arial" w:hAnsi="Century Gothic" w:cs="Arial"/>
                <w:i/>
                <w:iCs/>
              </w:rPr>
              <w:t>Denial rates</w:t>
            </w:r>
          </w:p>
          <w:p w14:paraId="284CCE7F" w14:textId="29467B01" w:rsidR="00806566" w:rsidRPr="00E70A33" w:rsidRDefault="00806566">
            <w:pPr>
              <w:rPr>
                <w:rFonts w:ascii="Century Gothic" w:eastAsia="Times New Roman" w:hAnsi="Century Gothic" w:cs="Arial"/>
              </w:rPr>
            </w:pPr>
            <w:bookmarkStart w:id="11" w:name="OLE_LINK4"/>
            <w:r w:rsidRPr="00D61E32">
              <w:rPr>
                <w:rFonts w:ascii="Century Gothic" w:eastAsia="Arial" w:hAnsi="Century Gothic" w:cs="Arial"/>
              </w:rPr>
              <w:t xml:space="preserve">Specifically, as shown in Step 4(b) above, for the inpatient in-network and out-of-network classifications, </w:t>
            </w:r>
            <w:r w:rsidRPr="00D61E32">
              <w:rPr>
                <w:rFonts w:ascii="Century Gothic" w:hAnsi="Century Gothic" w:cs="Arial"/>
              </w:rPr>
              <w:t xml:space="preserve">the prior authorization denial rate data above shows that 0% of MH/SUD prior authorizations were denied in both inpatient in-network and out-of-network classifications. This is less stringent compared to the 25% of Med/Surg inpatient in-network prior authorizations denied, </w:t>
            </w:r>
            <w:proofErr w:type="gramStart"/>
            <w:r w:rsidRPr="00D61E32">
              <w:rPr>
                <w:rFonts w:ascii="Century Gothic" w:hAnsi="Century Gothic" w:cs="Arial"/>
              </w:rPr>
              <w:t>and also</w:t>
            </w:r>
            <w:proofErr w:type="gramEnd"/>
            <w:r w:rsidRPr="00D61E32">
              <w:rPr>
                <w:rFonts w:ascii="Century Gothic" w:hAnsi="Century Gothic" w:cs="Arial"/>
              </w:rPr>
              <w:t xml:space="preserve"> to the 67% of Med/Surg inpatient out-of-network prior authorizations denied. Therefore, the percentage of denials for MH/SUD services is comparable to, and not more stringent than, the percentage of denials for Med/Surg prior authorization requests. In fact, the denial rate for MH/SUD prior authorization services is far lower than the denial rate for Med/Surg prior authorization denial rates, showing MH/SUD services are treated more favorably. </w:t>
            </w:r>
            <w:bookmarkEnd w:id="11"/>
          </w:p>
          <w:p w14:paraId="259A962F" w14:textId="77777777" w:rsidR="00806566" w:rsidRPr="00D61E32" w:rsidRDefault="00806566">
            <w:pPr>
              <w:rPr>
                <w:rFonts w:ascii="Century Gothic" w:hAnsi="Century Gothic" w:cs="Arial"/>
                <w:i/>
                <w:iCs/>
              </w:rPr>
            </w:pPr>
            <w:r w:rsidRPr="00D61E32">
              <w:rPr>
                <w:rFonts w:ascii="Century Gothic" w:hAnsi="Century Gothic" w:cs="Arial"/>
                <w:i/>
                <w:iCs/>
              </w:rPr>
              <w:t xml:space="preserve">Appeal </w:t>
            </w:r>
            <w:proofErr w:type="gramStart"/>
            <w:r w:rsidRPr="00D61E32">
              <w:rPr>
                <w:rFonts w:ascii="Century Gothic" w:hAnsi="Century Gothic" w:cs="Arial"/>
                <w:i/>
                <w:iCs/>
              </w:rPr>
              <w:t>rates</w:t>
            </w:r>
            <w:proofErr w:type="gramEnd"/>
          </w:p>
          <w:p w14:paraId="759C0579" w14:textId="0FE99F78" w:rsidR="00806566" w:rsidRPr="00E70A33" w:rsidRDefault="00806566">
            <w:pPr>
              <w:ind w:right="216"/>
              <w:jc w:val="both"/>
              <w:textAlignment w:val="baseline"/>
              <w:rPr>
                <w:rFonts w:ascii="Century Gothic" w:eastAsia="Arial" w:hAnsi="Century Gothic" w:cs="Arial"/>
              </w:rPr>
            </w:pPr>
            <w:r w:rsidRPr="00D61E32">
              <w:rPr>
                <w:rFonts w:ascii="Century Gothic" w:hAnsi="Century Gothic" w:cs="Arial"/>
              </w:rPr>
              <w:t xml:space="preserve">In comparing the M/S and MH/SUD data, very few denials were appealed (only 2 denials were appealed for MH/SUD and only 1 denial was appealed for M/S services). Although there were very few appeals, it is of note that the MHSUD appeals were upheld and the </w:t>
            </w:r>
            <w:proofErr w:type="spellStart"/>
            <w:r w:rsidRPr="00D61E32">
              <w:rPr>
                <w:rFonts w:ascii="Century Gothic" w:hAnsi="Century Gothic" w:cs="Arial"/>
              </w:rPr>
              <w:t>MedSurg</w:t>
            </w:r>
            <w:proofErr w:type="spellEnd"/>
            <w:r w:rsidRPr="00D61E32">
              <w:rPr>
                <w:rFonts w:ascii="Century Gothic" w:hAnsi="Century Gothic" w:cs="Arial"/>
              </w:rPr>
              <w:t xml:space="preserve"> denial was overturned. This shows the services for MHSUD </w:t>
            </w:r>
            <w:proofErr w:type="gramStart"/>
            <w:r w:rsidRPr="00D61E32">
              <w:rPr>
                <w:rFonts w:ascii="Century Gothic" w:hAnsi="Century Gothic" w:cs="Arial"/>
              </w:rPr>
              <w:t>is</w:t>
            </w:r>
            <w:proofErr w:type="gramEnd"/>
            <w:r w:rsidRPr="00D61E32">
              <w:rPr>
                <w:rFonts w:ascii="Century Gothic" w:hAnsi="Century Gothic" w:cs="Arial"/>
              </w:rPr>
              <w:t xml:space="preserve"> comparable to, and not more stringent than, the percentage of appeals overturned for </w:t>
            </w:r>
            <w:proofErr w:type="spellStart"/>
            <w:r w:rsidRPr="00D61E32">
              <w:rPr>
                <w:rFonts w:ascii="Century Gothic" w:hAnsi="Century Gothic" w:cs="Arial"/>
              </w:rPr>
              <w:t>MedSurg</w:t>
            </w:r>
            <w:proofErr w:type="spellEnd"/>
            <w:r w:rsidRPr="00D61E32">
              <w:rPr>
                <w:rFonts w:ascii="Century Gothic" w:hAnsi="Century Gothic" w:cs="Arial"/>
              </w:rPr>
              <w:t xml:space="preserve">. </w:t>
            </w:r>
          </w:p>
          <w:p w14:paraId="528EAC75" w14:textId="10978AB9" w:rsidR="00806566" w:rsidRPr="00D61E32" w:rsidRDefault="00806566">
            <w:pPr>
              <w:ind w:right="216"/>
              <w:jc w:val="both"/>
              <w:textAlignment w:val="baseline"/>
              <w:rPr>
                <w:rFonts w:ascii="Century Gothic" w:eastAsia="Arial" w:hAnsi="Century Gothic" w:cs="Arial"/>
              </w:rPr>
            </w:pPr>
            <w:r w:rsidRPr="00D61E32">
              <w:rPr>
                <w:rFonts w:ascii="Century Gothic" w:eastAsia="Arial" w:hAnsi="Century Gothic" w:cs="Arial"/>
              </w:rPr>
              <w:t>The process by which services are considered for application of Prior Authorization is comparable in writing and in operation across MH/SUD and M/S benefits, as evidenced by Wellfleet Cigna’s assessment of several components of the prior authorization determination process in the overall context of its utilization management programs.</w:t>
            </w:r>
          </w:p>
          <w:p w14:paraId="467AE097" w14:textId="77777777" w:rsidR="00806566" w:rsidRPr="00D61E32" w:rsidRDefault="00806566">
            <w:pPr>
              <w:ind w:right="216"/>
              <w:jc w:val="both"/>
              <w:textAlignment w:val="baseline"/>
              <w:rPr>
                <w:rFonts w:ascii="Century Gothic" w:eastAsia="Arial" w:hAnsi="Century Gothic" w:cs="Arial"/>
              </w:rPr>
            </w:pPr>
            <w:r w:rsidRPr="00D61E32">
              <w:rPr>
                <w:rFonts w:ascii="Century Gothic" w:eastAsia="Arial" w:hAnsi="Century Gothic" w:cs="Arial"/>
                <w:b/>
                <w:bCs/>
              </w:rPr>
              <w:t>Conclusion</w:t>
            </w:r>
            <w:r w:rsidRPr="00D61E32">
              <w:rPr>
                <w:rFonts w:ascii="Century Gothic" w:eastAsia="Arial" w:hAnsi="Century Gothic" w:cs="Arial"/>
              </w:rPr>
              <w:t>: Wellfleet has determined that PA is applied for MH/SUD benefits in a manner that is comparable to and no more stringent than that of M/S services, both as written and in operation, based on the information presented above that describes in detail the evidentiary standards, processes, strategies, and factors used to impose PA.</w:t>
            </w:r>
          </w:p>
        </w:tc>
        <w:bookmarkEnd w:id="4"/>
      </w:tr>
    </w:tbl>
    <w:p w14:paraId="590464EB" w14:textId="77777777" w:rsidR="00CE4315" w:rsidRDefault="00CE4315" w:rsidP="00CE4315">
      <w:pPr>
        <w:rPr>
          <w:rFonts w:ascii="Century Gothic" w:hAnsi="Century Gothic" w:cs="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134"/>
      </w:tblGrid>
      <w:tr w:rsidR="00540F00" w14:paraId="64F00023" w14:textId="77777777" w:rsidTr="00540F00">
        <w:trPr>
          <w:trHeight w:val="685"/>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9EF37E" w14:textId="77777777" w:rsidR="00540F00" w:rsidRDefault="00540F00">
            <w:pPr>
              <w:rPr>
                <w:rFonts w:ascii="Arial" w:eastAsia="Times New Roman" w:hAnsi="Arial" w:cs="Arial"/>
                <w:b/>
                <w:bCs/>
                <w:sz w:val="44"/>
                <w:szCs w:val="44"/>
              </w:rPr>
            </w:pPr>
            <w:bookmarkStart w:id="12" w:name="OLE_LINK35"/>
            <w:r>
              <w:rPr>
                <w:rFonts w:ascii="Arial" w:eastAsia="Times New Roman" w:hAnsi="Arial" w:cs="Arial"/>
                <w:b/>
                <w:bCs/>
                <w:sz w:val="36"/>
                <w:szCs w:val="44"/>
              </w:rPr>
              <w:t>NQTL: Prior Authorization</w:t>
            </w:r>
          </w:p>
        </w:tc>
      </w:tr>
      <w:tr w:rsidR="00540F00" w14:paraId="1543DCC1" w14:textId="77777777" w:rsidTr="00540F00">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236F9" w14:textId="77777777" w:rsidR="00540F00" w:rsidRDefault="00540F00">
            <w:pPr>
              <w:rPr>
                <w:rFonts w:ascii="Arial" w:eastAsia="Times New Roman" w:hAnsi="Arial" w:cs="Arial"/>
                <w:b/>
                <w:bCs/>
                <w:sz w:val="28"/>
                <w:szCs w:val="36"/>
              </w:rPr>
            </w:pPr>
            <w:r>
              <w:rPr>
                <w:rFonts w:ascii="Arial" w:eastAsia="Times New Roman" w:hAnsi="Arial" w:cs="Arial"/>
                <w:b/>
                <w:bCs/>
                <w:sz w:val="28"/>
                <w:szCs w:val="36"/>
              </w:rPr>
              <w:t xml:space="preserve">Classification(s):  Prescription Drugs </w:t>
            </w:r>
          </w:p>
        </w:tc>
      </w:tr>
      <w:tr w:rsidR="00540F00" w14:paraId="18B7D8B3" w14:textId="77777777" w:rsidTr="00540F00">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899F9" w14:textId="77777777" w:rsidR="00540F00" w:rsidRDefault="00540F00">
            <w:pPr>
              <w:rPr>
                <w:rFonts w:ascii="Arial" w:eastAsia="Times New Roman" w:hAnsi="Arial" w:cs="Arial"/>
                <w:b/>
                <w:bCs/>
              </w:rPr>
            </w:pPr>
            <w:r>
              <w:rPr>
                <w:rFonts w:ascii="Arial" w:eastAsia="Times New Roman" w:hAnsi="Arial" w:cs="Arial"/>
                <w:b/>
                <w:bCs/>
              </w:rPr>
              <w:t>Step 1 – Identify the specific plan or coverage terms or other relevant terms regarding Prior Authorization and a description of all mental health or substance use disorder and medical or surgical benefits to which each such term applies in each respective benefits classification</w:t>
            </w:r>
          </w:p>
        </w:tc>
      </w:tr>
      <w:tr w:rsidR="00540F00" w14:paraId="000150B1" w14:textId="77777777" w:rsidTr="00540F00">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60010C70" w14:textId="77777777" w:rsidR="00540F00" w:rsidRDefault="00540F00">
            <w:pPr>
              <w:rPr>
                <w:rFonts w:ascii="Arial" w:eastAsia="Times New Roman" w:hAnsi="Arial" w:cs="Arial"/>
                <w:bCs/>
              </w:rPr>
            </w:pPr>
            <w:r>
              <w:rPr>
                <w:rFonts w:ascii="Arial" w:eastAsia="Times New Roman" w:hAnsi="Arial" w:cs="Arial"/>
                <w:b/>
                <w:bCs/>
                <w:i/>
              </w:rPr>
              <w:t>Provide a clear description of the specific NQTL, plan terms, and policies at issue</w:t>
            </w:r>
            <w:r>
              <w:rPr>
                <w:rFonts w:ascii="Arial" w:eastAsia="Times New Roman" w:hAnsi="Arial" w:cs="Arial"/>
                <w:bCs/>
              </w:rPr>
              <w:t>:</w:t>
            </w:r>
            <w:r>
              <w:rPr>
                <w:rStyle w:val="FootnoteReference"/>
                <w:rFonts w:ascii="Arial" w:eastAsia="Times New Roman" w:hAnsi="Arial" w:cs="Arial"/>
                <w:bCs/>
              </w:rPr>
              <w:footnoteReference w:id="23"/>
            </w:r>
            <w:r>
              <w:rPr>
                <w:rFonts w:ascii="Arial" w:eastAsia="Times New Roman" w:hAnsi="Arial" w:cs="Arial"/>
                <w:bCs/>
              </w:rPr>
              <w:t xml:space="preserve"> </w:t>
            </w:r>
          </w:p>
          <w:p w14:paraId="78E98CD2" w14:textId="77777777" w:rsidR="00540F00" w:rsidRDefault="00540F00">
            <w:pPr>
              <w:rPr>
                <w:rFonts w:ascii="Arial" w:eastAsia="Times New Roman" w:hAnsi="Arial" w:cs="Arial"/>
                <w:bCs/>
              </w:rPr>
            </w:pPr>
            <w:r>
              <w:rPr>
                <w:rFonts w:ascii="Arial" w:eastAsia="Times New Roman" w:hAnsi="Arial" w:cs="Arial"/>
                <w:bCs/>
              </w:rPr>
              <w:t xml:space="preserve">From Wellfleet’s standard Certificate of Coverage Template: Prior Authorization (Preauthorization) is a decision by Wellfleet’s delegated Utilization Review Organization, prior to a member’s receipt of a Covered Service, procedure, treatment plan, device, or Prescription Drug that the Covered Service, procedure, treatment plan, device or Prescription Drug is Medically Necessary. For the purposes of this NQTL, the plan considers Prior Authorization of clinical reviews for determining medical necessity and not administrative reviews. </w:t>
            </w:r>
          </w:p>
          <w:p w14:paraId="610677CC" w14:textId="77777777" w:rsidR="00540F00" w:rsidRDefault="00540F00">
            <w:pPr>
              <w:rPr>
                <w:rFonts w:ascii="Arial" w:eastAsia="Times New Roman" w:hAnsi="Arial" w:cs="Arial"/>
              </w:rPr>
            </w:pPr>
            <w:r>
              <w:rPr>
                <w:rFonts w:ascii="Arial" w:eastAsia="Times New Roman" w:hAnsi="Arial" w:cs="Arial"/>
              </w:rPr>
              <w:t>Wellfleet delegates the act of Utilization Review to Express Scripts (ESI), however the application of the Prior Authorization NQTL and the guidelines that drive the decisions by ESI are approved by Wellfleet’s internal Pharmacy and Therapeutics Committee (P&amp;T) and Value Assessment Committee (VAC).</w:t>
            </w:r>
          </w:p>
          <w:p w14:paraId="020B2118" w14:textId="757DEDF9" w:rsidR="00540F00" w:rsidRDefault="00540F00">
            <w:pPr>
              <w:rPr>
                <w:rFonts w:ascii="Arial" w:eastAsia="Times New Roman" w:hAnsi="Arial" w:cs="Arial"/>
              </w:rPr>
            </w:pPr>
            <w:r>
              <w:rPr>
                <w:rFonts w:ascii="Arial" w:eastAsia="Times New Roman" w:hAnsi="Arial" w:cs="Arial"/>
              </w:rPr>
              <w:t>See P&amp;T Policy, where it states: “Prior Authorization: A decision made prior to a member’s receipt and coverage of a Prescription Drug to determine that the Drug is Medically Necessary and being utilized appropriately.”</w:t>
            </w:r>
          </w:p>
        </w:tc>
      </w:tr>
      <w:tr w:rsidR="00540F00" w14:paraId="0EF56021" w14:textId="77777777" w:rsidTr="00540F00">
        <w:trPr>
          <w:trHeight w:val="1385"/>
        </w:trPr>
        <w:tc>
          <w:tcPr>
            <w:tcW w:w="2500" w:type="pct"/>
            <w:tcBorders>
              <w:top w:val="single" w:sz="4" w:space="0" w:color="auto"/>
              <w:left w:val="single" w:sz="4" w:space="0" w:color="auto"/>
              <w:bottom w:val="single" w:sz="4" w:space="0" w:color="auto"/>
              <w:right w:val="single" w:sz="4" w:space="0" w:color="auto"/>
            </w:tcBorders>
          </w:tcPr>
          <w:p w14:paraId="4D8147E8" w14:textId="77777777" w:rsidR="00540F00" w:rsidRDefault="00540F00">
            <w:pPr>
              <w:rPr>
                <w:rFonts w:ascii="Arial" w:eastAsia="Times New Roman" w:hAnsi="Arial" w:cs="Arial"/>
                <w:b/>
                <w:i/>
              </w:rPr>
            </w:pPr>
            <w:r>
              <w:rPr>
                <w:rFonts w:ascii="Arial" w:eastAsia="Times New Roman" w:hAnsi="Arial" w:cs="Arial"/>
                <w:b/>
                <w:i/>
              </w:rPr>
              <w:t>Identify the M/S benefits/services for which Prior Authorization is required:</w:t>
            </w:r>
            <w:r>
              <w:rPr>
                <w:rStyle w:val="FootnoteReference"/>
                <w:rFonts w:ascii="Arial" w:eastAsia="Times New Roman" w:hAnsi="Arial" w:cs="Arial"/>
                <w:b/>
                <w:i/>
              </w:rPr>
              <w:footnoteReference w:id="24"/>
            </w:r>
          </w:p>
          <w:p w14:paraId="50DA4F01" w14:textId="77777777" w:rsidR="00540F00" w:rsidRDefault="00540F00">
            <w:pPr>
              <w:rPr>
                <w:rFonts w:ascii="Arial" w:eastAsia="Times New Roman" w:hAnsi="Arial" w:cs="Arial"/>
              </w:rPr>
            </w:pPr>
            <w:r>
              <w:rPr>
                <w:rFonts w:ascii="Arial" w:eastAsia="Times New Roman" w:hAnsi="Arial" w:cs="Arial"/>
              </w:rPr>
              <w:t xml:space="preserve"> Please see attached (Covered Services Attachment) which details benefits subject to </w:t>
            </w:r>
            <w:proofErr w:type="gramStart"/>
            <w:r>
              <w:rPr>
                <w:rFonts w:ascii="Arial" w:eastAsia="Times New Roman" w:hAnsi="Arial" w:cs="Arial"/>
              </w:rPr>
              <w:t>PA</w:t>
            </w:r>
            <w:proofErr w:type="gramEnd"/>
          </w:p>
          <w:p w14:paraId="744485CA" w14:textId="77777777" w:rsidR="00540F00" w:rsidRDefault="00540F00">
            <w:pPr>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03CD8C2D" w14:textId="77777777" w:rsidR="00540F00" w:rsidRDefault="00540F00">
            <w:pPr>
              <w:rPr>
                <w:rFonts w:ascii="Arial" w:eastAsia="Times New Roman" w:hAnsi="Arial" w:cs="Arial"/>
              </w:rPr>
            </w:pPr>
            <w:r>
              <w:rPr>
                <w:rFonts w:ascii="Arial" w:eastAsia="Times New Roman" w:hAnsi="Arial" w:cs="Arial"/>
                <w:b/>
                <w:i/>
              </w:rPr>
              <w:t>Identify the MH/SUD benefits/services for which Prior Authorization is required</w:t>
            </w:r>
            <w:r>
              <w:rPr>
                <w:rFonts w:ascii="Arial" w:eastAsia="Times New Roman" w:hAnsi="Arial" w:cs="Arial"/>
              </w:rPr>
              <w:t>:</w:t>
            </w:r>
            <w:r>
              <w:rPr>
                <w:rStyle w:val="FootnoteReference"/>
                <w:rFonts w:ascii="Arial" w:eastAsia="Times New Roman" w:hAnsi="Arial" w:cs="Arial"/>
              </w:rPr>
              <w:footnoteReference w:id="25"/>
            </w:r>
          </w:p>
          <w:p w14:paraId="5A411CA9" w14:textId="7E5C1331" w:rsidR="00540F00" w:rsidRDefault="00540F00">
            <w:pPr>
              <w:rPr>
                <w:rFonts w:ascii="Arial" w:eastAsia="Times New Roman" w:hAnsi="Arial" w:cs="Arial"/>
              </w:rPr>
            </w:pPr>
            <w:r>
              <w:rPr>
                <w:rFonts w:ascii="Arial" w:eastAsia="Times New Roman" w:hAnsi="Arial" w:cs="Arial"/>
              </w:rPr>
              <w:t>Please see attached (Covered Services Attachment) which details benefits subject to PA</w:t>
            </w:r>
          </w:p>
        </w:tc>
      </w:tr>
      <w:tr w:rsidR="00540F00" w14:paraId="186AF6ED" w14:textId="77777777" w:rsidTr="00540F00">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759891" w14:textId="77777777" w:rsidR="00540F00" w:rsidRDefault="00540F00">
            <w:pPr>
              <w:rPr>
                <w:rFonts w:ascii="Arial" w:eastAsia="Times New Roman" w:hAnsi="Arial" w:cs="Arial"/>
                <w:b/>
                <w:bCs/>
              </w:rPr>
            </w:pPr>
            <w:r>
              <w:rPr>
                <w:rFonts w:ascii="Arial" w:eastAsia="Times New Roman" w:hAnsi="Arial" w:cs="Arial"/>
                <w:b/>
                <w:bCs/>
              </w:rPr>
              <w:t>Step 2 – Identify the factors used to determine that Prior Authorization will apply to mental health or substance use disorder benefits and medical or surgical benefits</w:t>
            </w:r>
            <w:r>
              <w:rPr>
                <w:rStyle w:val="FootnoteReference"/>
                <w:rFonts w:ascii="Arial" w:eastAsia="Times New Roman" w:hAnsi="Arial" w:cs="Arial"/>
                <w:b/>
                <w:bCs/>
              </w:rPr>
              <w:footnoteReference w:id="26"/>
            </w:r>
          </w:p>
        </w:tc>
      </w:tr>
      <w:tr w:rsidR="00540F00" w14:paraId="2568F0CF" w14:textId="77777777" w:rsidTr="00540F00">
        <w:trPr>
          <w:trHeight w:val="1430"/>
        </w:trPr>
        <w:tc>
          <w:tcPr>
            <w:tcW w:w="2500" w:type="pct"/>
            <w:tcBorders>
              <w:top w:val="single" w:sz="4" w:space="0" w:color="auto"/>
              <w:left w:val="single" w:sz="4" w:space="0" w:color="auto"/>
              <w:bottom w:val="single" w:sz="4" w:space="0" w:color="auto"/>
              <w:right w:val="single" w:sz="4" w:space="0" w:color="auto"/>
            </w:tcBorders>
          </w:tcPr>
          <w:p w14:paraId="54D99280" w14:textId="2D59332A" w:rsidR="00540F00" w:rsidRDefault="00540F00">
            <w:pPr>
              <w:rPr>
                <w:rFonts w:ascii="Arial" w:eastAsia="Times New Roman" w:hAnsi="Arial" w:cs="Arial"/>
              </w:rPr>
            </w:pPr>
            <w:r>
              <w:rPr>
                <w:rFonts w:ascii="Arial" w:eastAsia="Times New Roman" w:hAnsi="Arial" w:cs="Arial"/>
                <w:b/>
              </w:rPr>
              <w:t>Medical/Surgical</w:t>
            </w:r>
            <w:r>
              <w:rPr>
                <w:rFonts w:ascii="Arial" w:eastAsia="Times New Roman" w:hAnsi="Arial" w:cs="Arial"/>
              </w:rPr>
              <w:t>:</w:t>
            </w:r>
          </w:p>
          <w:p w14:paraId="39D616D6" w14:textId="77777777" w:rsidR="00540F00" w:rsidRDefault="00540F00">
            <w:pPr>
              <w:rPr>
                <w:rFonts w:ascii="Arial" w:eastAsia="Times New Roman" w:hAnsi="Arial" w:cs="Arial"/>
              </w:rPr>
            </w:pPr>
            <w:r>
              <w:rPr>
                <w:rFonts w:ascii="Arial" w:eastAsia="Times New Roman" w:hAnsi="Arial" w:cs="Arial"/>
              </w:rPr>
              <w:t>Factors for determining whether a prescription drug product will have Prior Authorization or not:</w:t>
            </w:r>
          </w:p>
          <w:p w14:paraId="6536DD84" w14:textId="77777777" w:rsidR="00540F00" w:rsidRDefault="00540F00" w:rsidP="00540F00">
            <w:pPr>
              <w:pStyle w:val="ListParagraph"/>
              <w:numPr>
                <w:ilvl w:val="0"/>
                <w:numId w:val="49"/>
              </w:numPr>
              <w:spacing w:after="0" w:line="240" w:lineRule="auto"/>
              <w:rPr>
                <w:rFonts w:ascii="Arial" w:eastAsia="Times New Roman" w:hAnsi="Arial" w:cs="Arial"/>
              </w:rPr>
            </w:pPr>
            <w:r>
              <w:rPr>
                <w:rFonts w:ascii="Arial" w:eastAsia="Times New Roman" w:hAnsi="Arial" w:cs="Arial"/>
              </w:rPr>
              <w:t>Lack of adherence to quality standards</w:t>
            </w:r>
          </w:p>
          <w:p w14:paraId="04DCFFA0" w14:textId="77777777" w:rsidR="00540F00" w:rsidRDefault="00540F00" w:rsidP="00540F00">
            <w:pPr>
              <w:pStyle w:val="ListParagraph"/>
              <w:numPr>
                <w:ilvl w:val="0"/>
                <w:numId w:val="49"/>
              </w:numPr>
              <w:spacing w:after="0" w:line="240" w:lineRule="auto"/>
              <w:rPr>
                <w:rFonts w:ascii="Arial" w:eastAsia="Times New Roman" w:hAnsi="Arial" w:cs="Arial"/>
              </w:rPr>
            </w:pPr>
            <w:r>
              <w:rPr>
                <w:rFonts w:ascii="Arial" w:eastAsia="Times New Roman" w:hAnsi="Arial" w:cs="Arial"/>
              </w:rPr>
              <w:t xml:space="preserve">High variability in cost within drugs in a given therapeutic </w:t>
            </w:r>
            <w:proofErr w:type="gramStart"/>
            <w:r>
              <w:rPr>
                <w:rFonts w:ascii="Arial" w:eastAsia="Times New Roman" w:hAnsi="Arial" w:cs="Arial"/>
              </w:rPr>
              <w:t>class</w:t>
            </w:r>
            <w:proofErr w:type="gramEnd"/>
          </w:p>
          <w:p w14:paraId="2D475B78" w14:textId="77777777" w:rsidR="00540F00" w:rsidRDefault="00540F00" w:rsidP="00540F00">
            <w:pPr>
              <w:pStyle w:val="ListParagraph"/>
              <w:numPr>
                <w:ilvl w:val="0"/>
                <w:numId w:val="49"/>
              </w:numPr>
              <w:spacing w:after="0" w:line="240" w:lineRule="auto"/>
              <w:rPr>
                <w:rFonts w:ascii="Arial" w:eastAsia="Times New Roman" w:hAnsi="Arial" w:cs="Arial"/>
              </w:rPr>
            </w:pPr>
            <w:r>
              <w:rPr>
                <w:rFonts w:ascii="Arial" w:eastAsia="Times New Roman" w:hAnsi="Arial" w:cs="Arial"/>
              </w:rPr>
              <w:t xml:space="preserve">Anticipated excessive </w:t>
            </w:r>
            <w:proofErr w:type="gramStart"/>
            <w:r>
              <w:rPr>
                <w:rFonts w:ascii="Arial" w:eastAsia="Times New Roman" w:hAnsi="Arial" w:cs="Arial"/>
              </w:rPr>
              <w:t>utilization</w:t>
            </w:r>
            <w:proofErr w:type="gramEnd"/>
          </w:p>
          <w:p w14:paraId="5A550EED" w14:textId="48E77D89" w:rsidR="00540F00" w:rsidRPr="00540F00" w:rsidRDefault="00540F00" w:rsidP="00540F00">
            <w:pPr>
              <w:pStyle w:val="ListParagraph"/>
              <w:numPr>
                <w:ilvl w:val="0"/>
                <w:numId w:val="49"/>
              </w:numPr>
              <w:spacing w:after="0" w:line="240" w:lineRule="auto"/>
              <w:rPr>
                <w:rFonts w:ascii="Arial" w:eastAsia="Times New Roman" w:hAnsi="Arial" w:cs="Arial"/>
              </w:rPr>
            </w:pPr>
            <w:r>
              <w:rPr>
                <w:rFonts w:ascii="Arial" w:eastAsia="Times New Roman" w:hAnsi="Arial" w:cs="Arial"/>
              </w:rPr>
              <w:t xml:space="preserve">Member Impact (this factor is used only to determine when PA should not be applied) </w:t>
            </w:r>
          </w:p>
        </w:tc>
        <w:tc>
          <w:tcPr>
            <w:tcW w:w="2500" w:type="pct"/>
            <w:tcBorders>
              <w:top w:val="single" w:sz="4" w:space="0" w:color="auto"/>
              <w:left w:val="single" w:sz="4" w:space="0" w:color="auto"/>
              <w:bottom w:val="single" w:sz="4" w:space="0" w:color="auto"/>
              <w:right w:val="single" w:sz="4" w:space="0" w:color="auto"/>
            </w:tcBorders>
          </w:tcPr>
          <w:p w14:paraId="5809DDAE" w14:textId="520CAF8B" w:rsidR="00540F00" w:rsidRDefault="00540F00">
            <w:pPr>
              <w:rPr>
                <w:rFonts w:ascii="Arial" w:eastAsia="Times New Roman" w:hAnsi="Arial" w:cs="Arial"/>
              </w:rPr>
            </w:pPr>
            <w:r>
              <w:rPr>
                <w:rFonts w:ascii="Arial" w:eastAsia="Times New Roman" w:hAnsi="Arial" w:cs="Arial"/>
                <w:b/>
              </w:rPr>
              <w:t>MH/SUD</w:t>
            </w:r>
            <w:r>
              <w:rPr>
                <w:rFonts w:ascii="Arial" w:eastAsia="Times New Roman" w:hAnsi="Arial" w:cs="Arial"/>
              </w:rPr>
              <w:t>:</w:t>
            </w:r>
          </w:p>
          <w:p w14:paraId="0D8A41E4" w14:textId="77777777" w:rsidR="00540F00" w:rsidRDefault="00540F00">
            <w:pPr>
              <w:rPr>
                <w:rFonts w:ascii="Arial" w:eastAsia="Times New Roman" w:hAnsi="Arial" w:cs="Arial"/>
              </w:rPr>
            </w:pPr>
            <w:r>
              <w:rPr>
                <w:rFonts w:ascii="Arial" w:eastAsia="Times New Roman" w:hAnsi="Arial" w:cs="Arial"/>
              </w:rPr>
              <w:t>Factors for determining whether a prescription drug product will have Prior Authorization or not:</w:t>
            </w:r>
          </w:p>
          <w:p w14:paraId="0C0E8DF7" w14:textId="77777777" w:rsidR="00540F00" w:rsidRDefault="00540F00" w:rsidP="00540F00">
            <w:pPr>
              <w:pStyle w:val="ListParagraph"/>
              <w:numPr>
                <w:ilvl w:val="0"/>
                <w:numId w:val="67"/>
              </w:numPr>
              <w:spacing w:after="0" w:line="240" w:lineRule="auto"/>
              <w:rPr>
                <w:rFonts w:ascii="Arial" w:eastAsia="Times New Roman" w:hAnsi="Arial" w:cs="Arial"/>
              </w:rPr>
            </w:pPr>
            <w:r>
              <w:rPr>
                <w:rFonts w:ascii="Arial" w:eastAsia="Times New Roman" w:hAnsi="Arial" w:cs="Arial"/>
              </w:rPr>
              <w:t>Same as M/S</w:t>
            </w:r>
          </w:p>
        </w:tc>
      </w:tr>
      <w:tr w:rsidR="00540F00" w14:paraId="614E969C" w14:textId="77777777" w:rsidTr="00540F00">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AF1E4" w14:textId="77777777" w:rsidR="00540F00" w:rsidRDefault="00540F00">
            <w:pPr>
              <w:rPr>
                <w:rFonts w:ascii="Arial" w:eastAsia="Times New Roman" w:hAnsi="Arial" w:cs="Arial"/>
                <w:b/>
                <w:bCs/>
              </w:rPr>
            </w:pPr>
            <w:r>
              <w:rPr>
                <w:rFonts w:ascii="Arial" w:eastAsia="Times New Roman" w:hAnsi="Arial" w:cs="Arial"/>
                <w:b/>
                <w:bCs/>
              </w:rPr>
              <w:t>Step 3 – Identify the evidentiary standards used for the factors identified in Step 2, when applicable, provided that every factor shall be defined, and any other source or evidence relied upon to design and apply Prior Authorization to mental health or substance use disorder benefits and medical or surgical benefits.</w:t>
            </w:r>
          </w:p>
        </w:tc>
      </w:tr>
      <w:tr w:rsidR="00540F00" w14:paraId="7BFB87B6" w14:textId="77777777" w:rsidTr="00540F00">
        <w:trPr>
          <w:trHeight w:val="1720"/>
        </w:trPr>
        <w:tc>
          <w:tcPr>
            <w:tcW w:w="2500" w:type="pct"/>
            <w:tcBorders>
              <w:top w:val="single" w:sz="4" w:space="0" w:color="auto"/>
              <w:left w:val="single" w:sz="4" w:space="0" w:color="auto"/>
              <w:bottom w:val="single" w:sz="4" w:space="0" w:color="auto"/>
              <w:right w:val="single" w:sz="4" w:space="0" w:color="auto"/>
            </w:tcBorders>
          </w:tcPr>
          <w:p w14:paraId="31CC77EC" w14:textId="73C7CDD4" w:rsidR="00540F00" w:rsidRPr="00540F00" w:rsidRDefault="00540F00">
            <w:pPr>
              <w:rPr>
                <w:rFonts w:ascii="Arial" w:eastAsia="Times New Roman" w:hAnsi="Arial" w:cs="Arial"/>
                <w:b/>
              </w:rPr>
            </w:pPr>
            <w:r>
              <w:rPr>
                <w:rFonts w:ascii="Arial" w:eastAsia="Times New Roman" w:hAnsi="Arial" w:cs="Arial"/>
                <w:b/>
              </w:rPr>
              <w:t>Medical/Surgical:</w:t>
            </w:r>
          </w:p>
          <w:p w14:paraId="0C215953" w14:textId="77777777" w:rsidR="00540F00" w:rsidRDefault="00540F00">
            <w:pPr>
              <w:rPr>
                <w:rFonts w:ascii="Arial" w:eastAsia="Times New Roman" w:hAnsi="Arial" w:cs="Arial"/>
                <w:bCs/>
              </w:rPr>
            </w:pPr>
            <w:r>
              <w:rPr>
                <w:rFonts w:ascii="Arial" w:eastAsia="Times New Roman" w:hAnsi="Arial" w:cs="Arial"/>
                <w:bCs/>
              </w:rPr>
              <w:t xml:space="preserve">A. Factors for determining whether to apply PA: </w:t>
            </w:r>
          </w:p>
          <w:p w14:paraId="766C8EA7" w14:textId="77777777" w:rsidR="00540F00" w:rsidRDefault="00540F00" w:rsidP="00540F00">
            <w:pPr>
              <w:pStyle w:val="ListParagraph"/>
              <w:numPr>
                <w:ilvl w:val="0"/>
                <w:numId w:val="50"/>
              </w:numPr>
              <w:spacing w:after="0" w:line="240" w:lineRule="auto"/>
              <w:rPr>
                <w:rFonts w:ascii="Arial" w:eastAsia="Times New Roman" w:hAnsi="Arial" w:cs="Arial"/>
                <w:bCs/>
              </w:rPr>
            </w:pPr>
            <w:r>
              <w:rPr>
                <w:rFonts w:ascii="Arial" w:eastAsia="Times New Roman" w:hAnsi="Arial" w:cs="Arial"/>
                <w:bCs/>
              </w:rPr>
              <w:t>Factor 1: lack of adherence to quality standards – This factor carries more weight due to the safety concerns. Ensuring the safety and wellbeing of our members is of upmost importance.</w:t>
            </w:r>
          </w:p>
          <w:p w14:paraId="3DA9A424" w14:textId="77777777" w:rsidR="00540F00" w:rsidRDefault="00540F00" w:rsidP="00540F00">
            <w:pPr>
              <w:pStyle w:val="ListParagraph"/>
              <w:numPr>
                <w:ilvl w:val="1"/>
                <w:numId w:val="50"/>
              </w:numPr>
              <w:spacing w:after="0" w:line="240" w:lineRule="auto"/>
              <w:rPr>
                <w:rFonts w:ascii="Arial" w:eastAsia="Times New Roman" w:hAnsi="Arial" w:cs="Arial"/>
                <w:bCs/>
              </w:rPr>
            </w:pPr>
            <w:r>
              <w:rPr>
                <w:rFonts w:ascii="Arial" w:eastAsia="Times New Roman" w:hAnsi="Arial" w:cs="Arial"/>
                <w:bCs/>
              </w:rPr>
              <w:t xml:space="preserve">Sources: </w:t>
            </w:r>
            <w:r>
              <w:rPr>
                <w:rFonts w:ascii="Arial" w:hAnsi="Arial" w:cs="Arial"/>
                <w:bCs/>
              </w:rPr>
              <w:t xml:space="preserve">FDA Prescribing Information, professionally recognized treatment guidelines used to define clinically appropriate standards of care, nationally recognized Compendia - Truven Health Analytics Micromedex </w:t>
            </w:r>
            <w:proofErr w:type="spellStart"/>
            <w:r>
              <w:rPr>
                <w:rFonts w:ascii="Arial" w:hAnsi="Arial" w:cs="Arial"/>
                <w:bCs/>
              </w:rPr>
              <w:t>DrugDEX</w:t>
            </w:r>
            <w:proofErr w:type="spellEnd"/>
            <w:r>
              <w:rPr>
                <w:rFonts w:ascii="Arial" w:hAnsi="Arial" w:cs="Arial"/>
                <w:bCs/>
              </w:rPr>
              <w:t xml:space="preserve"> (</w:t>
            </w:r>
            <w:proofErr w:type="spellStart"/>
            <w:r>
              <w:rPr>
                <w:rFonts w:ascii="Arial" w:hAnsi="Arial" w:cs="Arial"/>
                <w:bCs/>
              </w:rPr>
              <w:t>DrugDEX</w:t>
            </w:r>
            <w:proofErr w:type="spellEnd"/>
            <w:r>
              <w:rPr>
                <w:rFonts w:ascii="Arial" w:hAnsi="Arial" w:cs="Arial"/>
                <w:bCs/>
              </w:rPr>
              <w:t>), and peer-reviewed medical literature.</w:t>
            </w:r>
          </w:p>
          <w:p w14:paraId="300ABC24" w14:textId="77777777" w:rsidR="00540F00" w:rsidRDefault="00540F00" w:rsidP="00540F00">
            <w:pPr>
              <w:pStyle w:val="ListParagraph"/>
              <w:numPr>
                <w:ilvl w:val="1"/>
                <w:numId w:val="50"/>
              </w:numPr>
              <w:spacing w:after="0" w:line="240" w:lineRule="auto"/>
              <w:rPr>
                <w:rFonts w:ascii="Arial" w:eastAsia="Times New Roman" w:hAnsi="Arial" w:cs="Arial"/>
                <w:bCs/>
              </w:rPr>
            </w:pPr>
            <w:r>
              <w:rPr>
                <w:rFonts w:ascii="Arial" w:eastAsia="Times New Roman" w:hAnsi="Arial" w:cs="Arial"/>
                <w:bCs/>
              </w:rPr>
              <w:t xml:space="preserve">Evidentiary Standard: P&amp;T Committee members discuss safety of newly released products to determine if they have potential for unsafe use. Sources listed above are compiled by Wellfleet’s Clinical Pharmacist into New Drug Reviews and Therapeutic Class Reviews. These reviews contain information on indications, dosing &amp; administration, clinical and comparative efficacy, clinical guidelines, contraindications &amp; special populations, etc. These are forwarded to the P&amp;T committee prior to the meetings for their review. Meeting discussions include an analysis </w:t>
            </w:r>
            <w:proofErr w:type="gramStart"/>
            <w:r>
              <w:rPr>
                <w:rFonts w:ascii="Arial" w:eastAsia="Times New Roman" w:hAnsi="Arial" w:cs="Arial"/>
                <w:bCs/>
              </w:rPr>
              <w:t>of:</w:t>
            </w:r>
            <w:proofErr w:type="gramEnd"/>
            <w:r>
              <w:rPr>
                <w:rFonts w:ascii="Arial" w:eastAsia="Times New Roman" w:hAnsi="Arial" w:cs="Arial"/>
                <w:bCs/>
              </w:rPr>
              <w:t xml:space="preserve"> appropriate dosing, potential overdose, prescribing by particular specialty provider, adherence or potential non-adherence to guidelines, etc. </w:t>
            </w:r>
          </w:p>
          <w:p w14:paraId="26E07A5C" w14:textId="77777777" w:rsidR="00540F00" w:rsidRDefault="00540F00" w:rsidP="00540F00">
            <w:pPr>
              <w:pStyle w:val="ListParagraph"/>
              <w:numPr>
                <w:ilvl w:val="0"/>
                <w:numId w:val="50"/>
              </w:numPr>
              <w:spacing w:after="0" w:line="240" w:lineRule="auto"/>
              <w:rPr>
                <w:rFonts w:ascii="Arial" w:eastAsia="Times New Roman" w:hAnsi="Arial" w:cs="Arial"/>
                <w:bCs/>
              </w:rPr>
            </w:pPr>
            <w:r>
              <w:rPr>
                <w:rFonts w:ascii="Arial" w:eastAsia="Times New Roman" w:hAnsi="Arial" w:cs="Arial"/>
                <w:bCs/>
              </w:rPr>
              <w:t xml:space="preserve">Factor 2: high variability in cost within drugs in a given therapeutic </w:t>
            </w:r>
            <w:proofErr w:type="gramStart"/>
            <w:r>
              <w:rPr>
                <w:rFonts w:ascii="Arial" w:eastAsia="Times New Roman" w:hAnsi="Arial" w:cs="Arial"/>
                <w:bCs/>
              </w:rPr>
              <w:t>class</w:t>
            </w:r>
            <w:proofErr w:type="gramEnd"/>
            <w:r>
              <w:rPr>
                <w:rFonts w:ascii="Arial" w:eastAsia="Times New Roman" w:hAnsi="Arial" w:cs="Arial"/>
                <w:bCs/>
              </w:rPr>
              <w:t xml:space="preserve"> </w:t>
            </w:r>
          </w:p>
          <w:p w14:paraId="0CC2E7A1" w14:textId="77777777" w:rsidR="00540F00" w:rsidRDefault="00540F00" w:rsidP="00540F00">
            <w:pPr>
              <w:pStyle w:val="ListParagraph"/>
              <w:numPr>
                <w:ilvl w:val="1"/>
                <w:numId w:val="50"/>
              </w:numPr>
              <w:spacing w:after="0" w:line="240" w:lineRule="auto"/>
              <w:rPr>
                <w:rFonts w:ascii="Arial" w:eastAsia="Times New Roman" w:hAnsi="Arial" w:cs="Arial"/>
                <w:bCs/>
              </w:rPr>
            </w:pPr>
            <w:r>
              <w:rPr>
                <w:rFonts w:ascii="Arial" w:eastAsia="Times New Roman" w:hAnsi="Arial" w:cs="Arial"/>
                <w:bCs/>
              </w:rPr>
              <w:t>Sources: First Databank (FDB), internal market and competitive analysis, therapeutic class total net cost analysis</w:t>
            </w:r>
          </w:p>
          <w:p w14:paraId="2C3CB48D" w14:textId="77777777" w:rsidR="00540F00" w:rsidRDefault="00540F00" w:rsidP="00540F00">
            <w:pPr>
              <w:pStyle w:val="ListParagraph"/>
              <w:numPr>
                <w:ilvl w:val="1"/>
                <w:numId w:val="50"/>
              </w:numPr>
              <w:spacing w:after="0" w:line="240" w:lineRule="auto"/>
              <w:rPr>
                <w:rFonts w:ascii="Arial" w:eastAsia="Times New Roman" w:hAnsi="Arial" w:cs="Arial"/>
                <w:bCs/>
              </w:rPr>
            </w:pPr>
            <w:r>
              <w:rPr>
                <w:rFonts w:ascii="Arial" w:eastAsia="Times New Roman" w:hAnsi="Arial" w:cs="Arial"/>
                <w:bCs/>
              </w:rPr>
              <w:t xml:space="preserve">Evidentiary Standard: High cost is defined as $670/month supply. Also </w:t>
            </w:r>
            <w:proofErr w:type="gramStart"/>
            <w:r>
              <w:rPr>
                <w:rFonts w:ascii="Arial" w:eastAsia="Times New Roman" w:hAnsi="Arial" w:cs="Arial"/>
                <w:bCs/>
              </w:rPr>
              <w:t>taken into account</w:t>
            </w:r>
            <w:proofErr w:type="gramEnd"/>
            <w:r>
              <w:rPr>
                <w:rFonts w:ascii="Arial" w:eastAsia="Times New Roman" w:hAnsi="Arial" w:cs="Arial"/>
                <w:bCs/>
              </w:rPr>
              <w:t xml:space="preserve"> are the availability of alternate therapies (brand/generic) &amp; lowest total net cost for course of therapy for given conditions.</w:t>
            </w:r>
          </w:p>
          <w:p w14:paraId="2FE74D61" w14:textId="77777777" w:rsidR="00540F00" w:rsidRDefault="00540F00" w:rsidP="00540F00">
            <w:pPr>
              <w:pStyle w:val="ListParagraph"/>
              <w:numPr>
                <w:ilvl w:val="0"/>
                <w:numId w:val="50"/>
              </w:numPr>
              <w:spacing w:after="0" w:line="240" w:lineRule="auto"/>
              <w:rPr>
                <w:rFonts w:ascii="Arial" w:eastAsia="Times New Roman" w:hAnsi="Arial" w:cs="Arial"/>
                <w:bCs/>
              </w:rPr>
            </w:pPr>
            <w:r>
              <w:rPr>
                <w:rFonts w:ascii="Arial" w:eastAsia="Times New Roman" w:hAnsi="Arial" w:cs="Arial"/>
                <w:bCs/>
              </w:rPr>
              <w:t xml:space="preserve">Factor 3: anticipated excessive </w:t>
            </w:r>
            <w:proofErr w:type="gramStart"/>
            <w:r>
              <w:rPr>
                <w:rFonts w:ascii="Arial" w:eastAsia="Times New Roman" w:hAnsi="Arial" w:cs="Arial"/>
                <w:bCs/>
              </w:rPr>
              <w:t>utilization</w:t>
            </w:r>
            <w:proofErr w:type="gramEnd"/>
            <w:r>
              <w:rPr>
                <w:rFonts w:ascii="Arial" w:eastAsia="Times New Roman" w:hAnsi="Arial" w:cs="Arial"/>
                <w:bCs/>
              </w:rPr>
              <w:t xml:space="preserve"> </w:t>
            </w:r>
          </w:p>
          <w:p w14:paraId="57905901" w14:textId="77777777" w:rsidR="00540F00" w:rsidRDefault="00540F00" w:rsidP="00540F00">
            <w:pPr>
              <w:pStyle w:val="ListParagraph"/>
              <w:numPr>
                <w:ilvl w:val="1"/>
                <w:numId w:val="50"/>
              </w:numPr>
              <w:spacing w:after="0" w:line="240" w:lineRule="auto"/>
              <w:rPr>
                <w:rFonts w:ascii="Arial" w:eastAsia="Times New Roman" w:hAnsi="Arial" w:cs="Arial"/>
                <w:bCs/>
              </w:rPr>
            </w:pPr>
            <w:r>
              <w:rPr>
                <w:rFonts w:ascii="Arial" w:eastAsia="Times New Roman" w:hAnsi="Arial" w:cs="Arial"/>
                <w:bCs/>
              </w:rPr>
              <w:t>Source: A</w:t>
            </w:r>
            <w:r>
              <w:rPr>
                <w:rFonts w:ascii="Arial" w:hAnsi="Arial" w:cs="Arial"/>
                <w:bCs/>
              </w:rPr>
              <w:t xml:space="preserve">ggregated data or non-identifiable utilization reports, FDA Prescribing Information, professionally recognized treatment guidelines used to define clinically appropriate standards of care such as nationally recognized Compendia - Truven Health Analytics Micromedex </w:t>
            </w:r>
            <w:proofErr w:type="spellStart"/>
            <w:r>
              <w:rPr>
                <w:rFonts w:ascii="Arial" w:hAnsi="Arial" w:cs="Arial"/>
                <w:bCs/>
              </w:rPr>
              <w:t>DrugDEX</w:t>
            </w:r>
            <w:proofErr w:type="spellEnd"/>
            <w:r>
              <w:rPr>
                <w:rFonts w:ascii="Arial" w:hAnsi="Arial" w:cs="Arial"/>
                <w:bCs/>
              </w:rPr>
              <w:t xml:space="preserve"> (</w:t>
            </w:r>
            <w:proofErr w:type="spellStart"/>
            <w:r>
              <w:rPr>
                <w:rFonts w:ascii="Arial" w:hAnsi="Arial" w:cs="Arial"/>
                <w:bCs/>
              </w:rPr>
              <w:t>DrugDEX</w:t>
            </w:r>
            <w:proofErr w:type="spellEnd"/>
            <w:r>
              <w:rPr>
                <w:rFonts w:ascii="Arial" w:hAnsi="Arial" w:cs="Arial"/>
                <w:bCs/>
              </w:rPr>
              <w:t>), and peer-reviewed medical literature.</w:t>
            </w:r>
          </w:p>
          <w:p w14:paraId="57B3623D" w14:textId="77777777" w:rsidR="00540F00" w:rsidRDefault="00540F00" w:rsidP="00540F00">
            <w:pPr>
              <w:pStyle w:val="ListParagraph"/>
              <w:numPr>
                <w:ilvl w:val="1"/>
                <w:numId w:val="50"/>
              </w:numPr>
              <w:spacing w:after="0" w:line="240" w:lineRule="auto"/>
              <w:rPr>
                <w:rFonts w:ascii="Arial" w:eastAsia="Times New Roman" w:hAnsi="Arial" w:cs="Arial"/>
                <w:bCs/>
              </w:rPr>
            </w:pPr>
            <w:r>
              <w:rPr>
                <w:rFonts w:ascii="Arial" w:eastAsia="Times New Roman" w:hAnsi="Arial" w:cs="Arial"/>
                <w:bCs/>
              </w:rPr>
              <w:t xml:space="preserve">Evidentiary Standard: Clinical Pharmacist reviews claims data every 6 months and compares actual utilization against the recommendations in the sources identified above (e.g. FDA prescribing information, dosing schedules, etc.) to determine whether a drug is being used excessively or inappropriately. “Excessive utilization” is defined as anything above the FDA approved dosing schedule or recommended dosage in peer-reviewed medical journals. If the Clinical Pharmacist determines a drug is subject to potential excessive utilization, the Clinical Pharmacist or the P&amp;T Committee may recommend applying prior authorization to the Value Assessment Committee (VAC). The VAC reviews the Clinical Pharmacist’s and the P&amp;T Committee recommendation to approve the decision of applying prior authorization. </w:t>
            </w:r>
          </w:p>
          <w:p w14:paraId="17CCA710" w14:textId="77777777" w:rsidR="00540F00" w:rsidRDefault="00540F00" w:rsidP="00540F00">
            <w:pPr>
              <w:pStyle w:val="ListParagraph"/>
              <w:numPr>
                <w:ilvl w:val="0"/>
                <w:numId w:val="50"/>
              </w:numPr>
              <w:spacing w:after="0" w:line="240" w:lineRule="auto"/>
              <w:rPr>
                <w:rFonts w:ascii="Arial" w:eastAsia="Times New Roman" w:hAnsi="Arial" w:cs="Arial"/>
              </w:rPr>
            </w:pPr>
            <w:r>
              <w:rPr>
                <w:rFonts w:ascii="Arial" w:eastAsia="Times New Roman" w:hAnsi="Arial" w:cs="Arial"/>
              </w:rPr>
              <w:t>Factor 4: Member Impact (this factor is used only to determine when PA should not be applied)</w:t>
            </w:r>
          </w:p>
          <w:p w14:paraId="2131CFAE" w14:textId="77777777" w:rsid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Source: Internal claims data, internal </w:t>
            </w:r>
            <w:proofErr w:type="gramStart"/>
            <w:r>
              <w:rPr>
                <w:rFonts w:ascii="Arial" w:eastAsia="Times New Roman" w:hAnsi="Arial" w:cs="Arial"/>
              </w:rPr>
              <w:t>market</w:t>
            </w:r>
            <w:proofErr w:type="gramEnd"/>
            <w:r>
              <w:rPr>
                <w:rFonts w:ascii="Arial" w:eastAsia="Times New Roman" w:hAnsi="Arial" w:cs="Arial"/>
              </w:rPr>
              <w:t xml:space="preserve"> and competitive analysis</w:t>
            </w:r>
          </w:p>
          <w:p w14:paraId="6361E33F" w14:textId="45B67CA7" w:rsidR="00540F00" w:rsidRP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Evidentiary Standard: The Value Assessment Committee runs a cost report for the past year to determine the impact and number of members that maybe be using a particular benefit that is being considered for PA application. The VAC determines the number of members that will be negatively impacted by prior authorization additions. The VAC </w:t>
            </w:r>
            <w:proofErr w:type="gramStart"/>
            <w:r>
              <w:rPr>
                <w:rFonts w:ascii="Arial" w:eastAsia="Times New Roman" w:hAnsi="Arial" w:cs="Arial"/>
              </w:rPr>
              <w:t>makes a decision</w:t>
            </w:r>
            <w:proofErr w:type="gramEnd"/>
            <w:r>
              <w:rPr>
                <w:rFonts w:ascii="Arial" w:eastAsia="Times New Roman" w:hAnsi="Arial" w:cs="Arial"/>
              </w:rPr>
              <w:t xml:space="preserve"> based on their professional judgement as to whether PA should not be applied to avoid negative member impact. This is only </w:t>
            </w:r>
            <w:proofErr w:type="gramStart"/>
            <w:r>
              <w:rPr>
                <w:rFonts w:ascii="Arial" w:eastAsia="Times New Roman" w:hAnsi="Arial" w:cs="Arial"/>
              </w:rPr>
              <w:t>taken into account</w:t>
            </w:r>
            <w:proofErr w:type="gramEnd"/>
            <w:r>
              <w:rPr>
                <w:rFonts w:ascii="Arial" w:eastAsia="Times New Roman" w:hAnsi="Arial" w:cs="Arial"/>
              </w:rPr>
              <w:t xml:space="preserve"> to decide </w:t>
            </w:r>
            <w:r>
              <w:rPr>
                <w:rFonts w:ascii="Arial" w:eastAsia="Times New Roman" w:hAnsi="Arial" w:cs="Arial"/>
                <w:i/>
                <w:iCs/>
              </w:rPr>
              <w:t>not</w:t>
            </w:r>
            <w:r>
              <w:rPr>
                <w:rFonts w:ascii="Arial" w:eastAsia="Times New Roman" w:hAnsi="Arial" w:cs="Arial"/>
              </w:rPr>
              <w:t xml:space="preserve"> to apply or to remove a Prior Authorization requirement from a medication and is not used in the application process for PA. If factors 1, 2, and 3 suggest the addition of PA, but we anticipate significant member or client impact based on our covered demographic, we would put the interest of our members first and not assign a PA designation. </w:t>
            </w:r>
          </w:p>
        </w:tc>
        <w:tc>
          <w:tcPr>
            <w:tcW w:w="2500" w:type="pct"/>
            <w:tcBorders>
              <w:top w:val="single" w:sz="4" w:space="0" w:color="auto"/>
              <w:left w:val="single" w:sz="4" w:space="0" w:color="auto"/>
              <w:bottom w:val="single" w:sz="4" w:space="0" w:color="auto"/>
              <w:right w:val="single" w:sz="4" w:space="0" w:color="auto"/>
            </w:tcBorders>
          </w:tcPr>
          <w:p w14:paraId="6B5C467B" w14:textId="53302EC8" w:rsidR="00540F00" w:rsidRDefault="00540F00">
            <w:pPr>
              <w:rPr>
                <w:rFonts w:ascii="Arial" w:eastAsia="Times New Roman" w:hAnsi="Arial" w:cs="Arial"/>
              </w:rPr>
            </w:pPr>
            <w:r>
              <w:rPr>
                <w:rFonts w:ascii="Arial" w:eastAsia="Times New Roman" w:hAnsi="Arial" w:cs="Arial"/>
                <w:b/>
              </w:rPr>
              <w:t>MH/SUD</w:t>
            </w:r>
            <w:r>
              <w:rPr>
                <w:rFonts w:ascii="Arial" w:eastAsia="Times New Roman" w:hAnsi="Arial" w:cs="Arial"/>
              </w:rPr>
              <w:t>:</w:t>
            </w:r>
          </w:p>
          <w:p w14:paraId="4E08CB5A" w14:textId="77777777" w:rsidR="00540F00" w:rsidRDefault="00540F00">
            <w:pPr>
              <w:rPr>
                <w:rFonts w:ascii="Arial" w:eastAsia="Times New Roman" w:hAnsi="Arial" w:cs="Arial"/>
              </w:rPr>
            </w:pPr>
            <w:r>
              <w:rPr>
                <w:rFonts w:ascii="Arial" w:eastAsia="Times New Roman" w:hAnsi="Arial" w:cs="Arial"/>
              </w:rPr>
              <w:t xml:space="preserve">A. Factors for determining whether to apply PA: </w:t>
            </w:r>
          </w:p>
          <w:p w14:paraId="426E2079" w14:textId="77777777" w:rsidR="00540F00" w:rsidRDefault="00540F00" w:rsidP="00540F00">
            <w:pPr>
              <w:pStyle w:val="ListParagraph"/>
              <w:numPr>
                <w:ilvl w:val="0"/>
                <w:numId w:val="50"/>
              </w:numPr>
              <w:spacing w:after="0" w:line="240" w:lineRule="auto"/>
              <w:rPr>
                <w:rFonts w:ascii="Arial" w:eastAsia="Times New Roman" w:hAnsi="Arial" w:cs="Arial"/>
              </w:rPr>
            </w:pPr>
            <w:r>
              <w:rPr>
                <w:rFonts w:ascii="Arial" w:eastAsia="Times New Roman" w:hAnsi="Arial" w:cs="Arial"/>
              </w:rPr>
              <w:t>Factor 1: lack of adherence to quality standards – This factor carries more weight due to the safety concerns. Ensuring the safety and wellbeing of our members is of upmost importance.</w:t>
            </w:r>
          </w:p>
          <w:p w14:paraId="15E0A790" w14:textId="77777777" w:rsid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Sources: </w:t>
            </w:r>
            <w:r>
              <w:rPr>
                <w:rFonts w:ascii="Arial" w:hAnsi="Arial" w:cs="Arial"/>
              </w:rPr>
              <w:t xml:space="preserve">FDA Prescribing Information, professionally recognized treatment guidelines used to define clinically appropriate standards of care such as ASAM criteria or APA treatment guidelines, nationally recognized Compendia - Truven Health Analytics Micromedex </w:t>
            </w:r>
            <w:proofErr w:type="spellStart"/>
            <w:r>
              <w:rPr>
                <w:rFonts w:ascii="Arial" w:hAnsi="Arial" w:cs="Arial"/>
              </w:rPr>
              <w:t>DrugDEX</w:t>
            </w:r>
            <w:proofErr w:type="spellEnd"/>
            <w:r>
              <w:rPr>
                <w:rFonts w:ascii="Arial" w:hAnsi="Arial" w:cs="Arial"/>
              </w:rPr>
              <w:t xml:space="preserve"> (</w:t>
            </w:r>
            <w:proofErr w:type="spellStart"/>
            <w:r>
              <w:rPr>
                <w:rFonts w:ascii="Arial" w:hAnsi="Arial" w:cs="Arial"/>
              </w:rPr>
              <w:t>DrugDEX</w:t>
            </w:r>
            <w:proofErr w:type="spellEnd"/>
            <w:r>
              <w:rPr>
                <w:rFonts w:ascii="Arial" w:hAnsi="Arial" w:cs="Arial"/>
              </w:rPr>
              <w:t>), and peer-reviewed medical literature.</w:t>
            </w:r>
          </w:p>
          <w:p w14:paraId="6688FE7A" w14:textId="77777777" w:rsid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Evidentiary Standard: Same as M/S  </w:t>
            </w:r>
          </w:p>
          <w:p w14:paraId="30976CE2" w14:textId="77777777" w:rsidR="00540F00" w:rsidRDefault="00540F00">
            <w:pPr>
              <w:pStyle w:val="ListParagraph"/>
              <w:rPr>
                <w:rFonts w:ascii="Arial" w:eastAsia="Times New Roman" w:hAnsi="Arial" w:cs="Arial"/>
              </w:rPr>
            </w:pPr>
          </w:p>
          <w:p w14:paraId="3C38D66B" w14:textId="77777777" w:rsidR="00540F00" w:rsidRDefault="00540F00">
            <w:pPr>
              <w:pStyle w:val="ListParagraph"/>
              <w:rPr>
                <w:rFonts w:ascii="Arial" w:eastAsia="Times New Roman" w:hAnsi="Arial" w:cs="Arial"/>
              </w:rPr>
            </w:pPr>
          </w:p>
          <w:p w14:paraId="6B86A92D" w14:textId="77777777" w:rsidR="00540F00" w:rsidRDefault="00540F00">
            <w:pPr>
              <w:pStyle w:val="ListParagraph"/>
              <w:rPr>
                <w:rFonts w:ascii="Arial" w:eastAsia="Times New Roman" w:hAnsi="Arial" w:cs="Arial"/>
              </w:rPr>
            </w:pPr>
          </w:p>
          <w:p w14:paraId="2815092D" w14:textId="77777777" w:rsidR="00540F00" w:rsidRDefault="00540F00">
            <w:pPr>
              <w:pStyle w:val="ListParagraph"/>
              <w:rPr>
                <w:rFonts w:ascii="Arial" w:eastAsia="Times New Roman" w:hAnsi="Arial" w:cs="Arial"/>
              </w:rPr>
            </w:pPr>
          </w:p>
          <w:p w14:paraId="4A0DD77E" w14:textId="77777777" w:rsidR="00540F00" w:rsidRDefault="00540F00">
            <w:pPr>
              <w:pStyle w:val="ListParagraph"/>
              <w:rPr>
                <w:rFonts w:ascii="Arial" w:eastAsia="Times New Roman" w:hAnsi="Arial" w:cs="Arial"/>
              </w:rPr>
            </w:pPr>
          </w:p>
          <w:p w14:paraId="1010D5F1" w14:textId="77777777" w:rsidR="00540F00" w:rsidRDefault="00540F00">
            <w:pPr>
              <w:pStyle w:val="ListParagraph"/>
              <w:rPr>
                <w:rFonts w:ascii="Arial" w:eastAsia="Times New Roman" w:hAnsi="Arial" w:cs="Arial"/>
              </w:rPr>
            </w:pPr>
          </w:p>
          <w:p w14:paraId="70EC37DE" w14:textId="77777777" w:rsidR="00540F00" w:rsidRDefault="00540F00">
            <w:pPr>
              <w:pStyle w:val="ListParagraph"/>
              <w:rPr>
                <w:rFonts w:ascii="Arial" w:eastAsia="Times New Roman" w:hAnsi="Arial" w:cs="Arial"/>
              </w:rPr>
            </w:pPr>
          </w:p>
          <w:p w14:paraId="31283E21" w14:textId="77777777" w:rsidR="00540F00" w:rsidRDefault="00540F00">
            <w:pPr>
              <w:pStyle w:val="ListParagraph"/>
              <w:rPr>
                <w:rFonts w:ascii="Arial" w:eastAsia="Times New Roman" w:hAnsi="Arial" w:cs="Arial"/>
              </w:rPr>
            </w:pPr>
          </w:p>
          <w:p w14:paraId="6FE442D7" w14:textId="77777777" w:rsidR="00540F00" w:rsidRDefault="00540F00" w:rsidP="00540F00">
            <w:pPr>
              <w:pStyle w:val="ListParagraph"/>
              <w:numPr>
                <w:ilvl w:val="0"/>
                <w:numId w:val="50"/>
              </w:numPr>
              <w:spacing w:after="0" w:line="240" w:lineRule="auto"/>
              <w:rPr>
                <w:rFonts w:ascii="Arial" w:eastAsia="Times New Roman" w:hAnsi="Arial" w:cs="Arial"/>
              </w:rPr>
            </w:pPr>
            <w:r>
              <w:rPr>
                <w:rFonts w:ascii="Arial" w:eastAsia="Times New Roman" w:hAnsi="Arial" w:cs="Arial"/>
              </w:rPr>
              <w:t xml:space="preserve">Factor 2: high variability in cost within drugs in a given therapeutic </w:t>
            </w:r>
            <w:proofErr w:type="gramStart"/>
            <w:r>
              <w:rPr>
                <w:rFonts w:ascii="Arial" w:eastAsia="Times New Roman" w:hAnsi="Arial" w:cs="Arial"/>
              </w:rPr>
              <w:t>class</w:t>
            </w:r>
            <w:proofErr w:type="gramEnd"/>
          </w:p>
          <w:p w14:paraId="22E51D8E" w14:textId="77777777" w:rsid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Sources: First Databank (FDB), internal market and competitive analysis, therapeutic class total net cost analysis</w:t>
            </w:r>
          </w:p>
          <w:p w14:paraId="4AAB9658" w14:textId="77777777" w:rsid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Evidentiary Standard: Same as M/S </w:t>
            </w:r>
          </w:p>
          <w:p w14:paraId="33B38BEE" w14:textId="77777777" w:rsidR="00540F00" w:rsidRDefault="00540F00">
            <w:pPr>
              <w:pStyle w:val="ListParagraph"/>
              <w:rPr>
                <w:rFonts w:ascii="Arial" w:eastAsia="Times New Roman" w:hAnsi="Arial" w:cs="Arial"/>
              </w:rPr>
            </w:pPr>
          </w:p>
          <w:p w14:paraId="0A0BFAC3" w14:textId="77777777" w:rsidR="00540F00" w:rsidRDefault="00540F00">
            <w:pPr>
              <w:pStyle w:val="ListParagraph"/>
              <w:rPr>
                <w:rFonts w:ascii="Arial" w:eastAsia="Times New Roman" w:hAnsi="Arial" w:cs="Arial"/>
              </w:rPr>
            </w:pPr>
          </w:p>
          <w:p w14:paraId="089FC164" w14:textId="77777777" w:rsidR="00540F00" w:rsidRDefault="00540F00">
            <w:pPr>
              <w:pStyle w:val="ListParagraph"/>
              <w:rPr>
                <w:rFonts w:ascii="Arial" w:eastAsia="Times New Roman" w:hAnsi="Arial" w:cs="Arial"/>
              </w:rPr>
            </w:pPr>
          </w:p>
          <w:p w14:paraId="73CAD5CB" w14:textId="77777777" w:rsidR="00540F00" w:rsidRDefault="00540F00" w:rsidP="00540F00">
            <w:pPr>
              <w:pStyle w:val="ListParagraph"/>
              <w:numPr>
                <w:ilvl w:val="0"/>
                <w:numId w:val="50"/>
              </w:numPr>
              <w:spacing w:after="0" w:line="240" w:lineRule="auto"/>
              <w:rPr>
                <w:rFonts w:ascii="Arial" w:eastAsia="Times New Roman" w:hAnsi="Arial" w:cs="Arial"/>
              </w:rPr>
            </w:pPr>
            <w:r>
              <w:rPr>
                <w:rFonts w:ascii="Arial" w:eastAsia="Times New Roman" w:hAnsi="Arial" w:cs="Arial"/>
              </w:rPr>
              <w:t xml:space="preserve">Factor 3: anticipated excessive </w:t>
            </w:r>
            <w:proofErr w:type="gramStart"/>
            <w:r>
              <w:rPr>
                <w:rFonts w:ascii="Arial" w:eastAsia="Times New Roman" w:hAnsi="Arial" w:cs="Arial"/>
              </w:rPr>
              <w:t>utilization</w:t>
            </w:r>
            <w:proofErr w:type="gramEnd"/>
          </w:p>
          <w:p w14:paraId="4778BCFD" w14:textId="77777777" w:rsid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Source: A</w:t>
            </w:r>
            <w:r>
              <w:rPr>
                <w:rFonts w:ascii="Arial" w:hAnsi="Arial" w:cs="Arial"/>
              </w:rPr>
              <w:t xml:space="preserve">ggregated data or non-identifiable utilization reports, FDA Prescribing Information, professionally recognized treatment guidelines used to define clinically appropriate standards of care such as ASAM criteria or APA treatment guidelines, nationally recognized Compendia - Truven Health Analytics Micromedex </w:t>
            </w:r>
            <w:proofErr w:type="spellStart"/>
            <w:r>
              <w:rPr>
                <w:rFonts w:ascii="Arial" w:hAnsi="Arial" w:cs="Arial"/>
              </w:rPr>
              <w:t>DrugDEX</w:t>
            </w:r>
            <w:proofErr w:type="spellEnd"/>
            <w:r>
              <w:rPr>
                <w:rFonts w:ascii="Arial" w:hAnsi="Arial" w:cs="Arial"/>
              </w:rPr>
              <w:t xml:space="preserve"> (</w:t>
            </w:r>
            <w:proofErr w:type="spellStart"/>
            <w:r>
              <w:rPr>
                <w:rFonts w:ascii="Arial" w:hAnsi="Arial" w:cs="Arial"/>
              </w:rPr>
              <w:t>DrugDEX</w:t>
            </w:r>
            <w:proofErr w:type="spellEnd"/>
            <w:r>
              <w:rPr>
                <w:rFonts w:ascii="Arial" w:hAnsi="Arial" w:cs="Arial"/>
              </w:rPr>
              <w:t>), and peer-reviewed medical literature.</w:t>
            </w:r>
          </w:p>
          <w:p w14:paraId="7DF713A4" w14:textId="77777777" w:rsid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Evidentiary Standard: Same as M/S </w:t>
            </w:r>
          </w:p>
          <w:p w14:paraId="0AB983B3" w14:textId="77777777" w:rsidR="00540F00" w:rsidRDefault="00540F00">
            <w:pPr>
              <w:pStyle w:val="ListParagraph"/>
              <w:rPr>
                <w:rFonts w:ascii="Arial" w:eastAsia="Times New Roman" w:hAnsi="Arial" w:cs="Arial"/>
              </w:rPr>
            </w:pPr>
          </w:p>
          <w:p w14:paraId="09FE2D17" w14:textId="77777777" w:rsidR="00540F00" w:rsidRDefault="00540F00">
            <w:pPr>
              <w:pStyle w:val="ListParagraph"/>
              <w:rPr>
                <w:rFonts w:ascii="Arial" w:eastAsia="Times New Roman" w:hAnsi="Arial" w:cs="Arial"/>
              </w:rPr>
            </w:pPr>
          </w:p>
          <w:p w14:paraId="771494A2" w14:textId="77777777" w:rsidR="00540F00" w:rsidRDefault="00540F00">
            <w:pPr>
              <w:pStyle w:val="ListParagraph"/>
              <w:rPr>
                <w:rFonts w:ascii="Arial" w:eastAsia="Times New Roman" w:hAnsi="Arial" w:cs="Arial"/>
              </w:rPr>
            </w:pPr>
          </w:p>
          <w:p w14:paraId="6B96FD6A" w14:textId="77777777" w:rsidR="00540F00" w:rsidRDefault="00540F00">
            <w:pPr>
              <w:pStyle w:val="ListParagraph"/>
              <w:rPr>
                <w:rFonts w:ascii="Arial" w:eastAsia="Times New Roman" w:hAnsi="Arial" w:cs="Arial"/>
              </w:rPr>
            </w:pPr>
          </w:p>
          <w:p w14:paraId="1A84C15F" w14:textId="77777777" w:rsidR="00540F00" w:rsidRDefault="00540F00">
            <w:pPr>
              <w:pStyle w:val="ListParagraph"/>
              <w:rPr>
                <w:rFonts w:ascii="Arial" w:eastAsia="Times New Roman" w:hAnsi="Arial" w:cs="Arial"/>
              </w:rPr>
            </w:pPr>
          </w:p>
          <w:p w14:paraId="71FB28B5" w14:textId="77777777" w:rsidR="00540F00" w:rsidRDefault="00540F00">
            <w:pPr>
              <w:pStyle w:val="ListParagraph"/>
              <w:rPr>
                <w:rFonts w:ascii="Arial" w:eastAsia="Times New Roman" w:hAnsi="Arial" w:cs="Arial"/>
              </w:rPr>
            </w:pPr>
          </w:p>
          <w:p w14:paraId="070D0F92" w14:textId="0DA7E838" w:rsidR="00540F00" w:rsidRDefault="00540F00" w:rsidP="00540F00">
            <w:pPr>
              <w:rPr>
                <w:rFonts w:ascii="Arial" w:eastAsia="Times New Roman" w:hAnsi="Arial" w:cs="Arial"/>
              </w:rPr>
            </w:pPr>
          </w:p>
          <w:p w14:paraId="58462504" w14:textId="77777777" w:rsidR="00540F00" w:rsidRDefault="00540F00" w:rsidP="00540F00">
            <w:pPr>
              <w:rPr>
                <w:rFonts w:ascii="Arial" w:eastAsia="Times New Roman" w:hAnsi="Arial" w:cs="Arial"/>
              </w:rPr>
            </w:pPr>
          </w:p>
          <w:p w14:paraId="2142E4FD" w14:textId="77777777" w:rsidR="00540F00" w:rsidRDefault="00540F00" w:rsidP="00540F00">
            <w:pPr>
              <w:rPr>
                <w:rFonts w:ascii="Arial" w:eastAsia="Times New Roman" w:hAnsi="Arial" w:cs="Arial"/>
              </w:rPr>
            </w:pPr>
          </w:p>
          <w:p w14:paraId="1FB645D3" w14:textId="77777777" w:rsidR="00540F00" w:rsidRPr="00540F00" w:rsidRDefault="00540F00" w:rsidP="00540F00">
            <w:pPr>
              <w:rPr>
                <w:rFonts w:ascii="Arial" w:eastAsia="Times New Roman" w:hAnsi="Arial" w:cs="Arial"/>
              </w:rPr>
            </w:pPr>
          </w:p>
          <w:p w14:paraId="1B1AFAC8" w14:textId="77777777" w:rsidR="00540F00" w:rsidRDefault="00540F00">
            <w:pPr>
              <w:pStyle w:val="ListParagraph"/>
              <w:rPr>
                <w:rFonts w:ascii="Arial" w:eastAsia="Times New Roman" w:hAnsi="Arial" w:cs="Arial"/>
              </w:rPr>
            </w:pPr>
          </w:p>
          <w:p w14:paraId="75137A9C" w14:textId="77777777" w:rsidR="00540F00" w:rsidRDefault="00540F00" w:rsidP="00540F00">
            <w:pPr>
              <w:pStyle w:val="ListParagraph"/>
              <w:numPr>
                <w:ilvl w:val="0"/>
                <w:numId w:val="50"/>
              </w:numPr>
              <w:spacing w:after="0" w:line="240" w:lineRule="auto"/>
              <w:rPr>
                <w:rFonts w:ascii="Arial" w:eastAsia="Times New Roman" w:hAnsi="Arial" w:cs="Arial"/>
              </w:rPr>
            </w:pPr>
            <w:r>
              <w:rPr>
                <w:rFonts w:ascii="Arial" w:eastAsia="Times New Roman" w:hAnsi="Arial" w:cs="Arial"/>
              </w:rPr>
              <w:t>Factor 4: Member Impact (this factor is used only to determine when PA should not be applied)</w:t>
            </w:r>
          </w:p>
          <w:p w14:paraId="0753961B" w14:textId="77777777" w:rsid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Source: Internal claims data, internal </w:t>
            </w:r>
            <w:proofErr w:type="gramStart"/>
            <w:r>
              <w:rPr>
                <w:rFonts w:ascii="Arial" w:eastAsia="Times New Roman" w:hAnsi="Arial" w:cs="Arial"/>
              </w:rPr>
              <w:t>market</w:t>
            </w:r>
            <w:proofErr w:type="gramEnd"/>
            <w:r>
              <w:rPr>
                <w:rFonts w:ascii="Arial" w:eastAsia="Times New Roman" w:hAnsi="Arial" w:cs="Arial"/>
              </w:rPr>
              <w:t xml:space="preserve"> and competitive analysis</w:t>
            </w:r>
          </w:p>
          <w:p w14:paraId="2CB23EC9" w14:textId="77777777" w:rsidR="00540F00" w:rsidRDefault="00540F00" w:rsidP="00540F00">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Evidentiary Standard: Same as M/S </w:t>
            </w:r>
          </w:p>
          <w:p w14:paraId="4D1F689B" w14:textId="77777777" w:rsidR="00540F00" w:rsidRDefault="00540F00">
            <w:pPr>
              <w:pStyle w:val="ListParagraph"/>
              <w:rPr>
                <w:rFonts w:ascii="Arial" w:eastAsia="Times New Roman" w:hAnsi="Arial" w:cs="Arial"/>
              </w:rPr>
            </w:pPr>
          </w:p>
          <w:p w14:paraId="48FCD601" w14:textId="77777777" w:rsidR="00540F00" w:rsidRDefault="00540F00">
            <w:pPr>
              <w:rPr>
                <w:rFonts w:ascii="Arial" w:eastAsia="Times New Roman" w:hAnsi="Arial" w:cs="Arial"/>
              </w:rPr>
            </w:pPr>
          </w:p>
          <w:p w14:paraId="26AABA15" w14:textId="77777777" w:rsidR="00540F00" w:rsidRDefault="00540F00">
            <w:pPr>
              <w:rPr>
                <w:rFonts w:ascii="Arial" w:eastAsia="Times New Roman" w:hAnsi="Arial" w:cs="Arial"/>
              </w:rPr>
            </w:pPr>
          </w:p>
          <w:p w14:paraId="7EB189AC" w14:textId="77777777" w:rsidR="00540F00" w:rsidRDefault="00540F00">
            <w:pPr>
              <w:rPr>
                <w:rFonts w:ascii="Arial" w:eastAsia="Times New Roman" w:hAnsi="Arial" w:cs="Arial"/>
              </w:rPr>
            </w:pPr>
          </w:p>
        </w:tc>
      </w:tr>
      <w:tr w:rsidR="00540F00" w14:paraId="3837FDAC" w14:textId="77777777" w:rsidTr="00540F00">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2579C" w14:textId="77777777" w:rsidR="00540F00" w:rsidRDefault="00540F00">
            <w:pPr>
              <w:rPr>
                <w:rFonts w:ascii="Arial" w:eastAsia="Times New Roman" w:hAnsi="Arial" w:cs="Arial"/>
                <w:bCs/>
              </w:rPr>
            </w:pPr>
            <w:r>
              <w:rPr>
                <w:rFonts w:ascii="Arial" w:eastAsia="Times New Roman" w:hAnsi="Arial"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tc>
      </w:tr>
      <w:tr w:rsidR="00540F00" w14:paraId="0046F132" w14:textId="77777777" w:rsidTr="00540F00">
        <w:trPr>
          <w:trHeight w:val="1720"/>
        </w:trPr>
        <w:tc>
          <w:tcPr>
            <w:tcW w:w="2500" w:type="pct"/>
            <w:tcBorders>
              <w:top w:val="single" w:sz="4" w:space="0" w:color="auto"/>
              <w:left w:val="single" w:sz="4" w:space="0" w:color="auto"/>
              <w:bottom w:val="single" w:sz="4" w:space="0" w:color="auto"/>
              <w:right w:val="single" w:sz="4" w:space="0" w:color="auto"/>
            </w:tcBorders>
          </w:tcPr>
          <w:p w14:paraId="717A7CFE" w14:textId="77777777" w:rsidR="00540F00" w:rsidRDefault="00540F00">
            <w:pPr>
              <w:rPr>
                <w:rFonts w:ascii="Arial" w:eastAsia="Times New Roman" w:hAnsi="Arial" w:cs="Arial"/>
              </w:rPr>
            </w:pPr>
            <w:r>
              <w:rPr>
                <w:rFonts w:ascii="Arial" w:eastAsia="Times New Roman" w:hAnsi="Arial" w:cs="Arial"/>
                <w:i/>
              </w:rPr>
              <w:t>Timelines and deadlines, including the frequency with which re-authorizations are required</w:t>
            </w:r>
            <w:r>
              <w:rPr>
                <w:rFonts w:ascii="Arial" w:eastAsia="Times New Roman" w:hAnsi="Arial" w:cs="Arial"/>
              </w:rPr>
              <w:t>:</w:t>
            </w:r>
          </w:p>
          <w:p w14:paraId="031A15BC"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 xml:space="preserve">Turnaround times for review and either approving or denying a PA request are based on state requirements. However, on </w:t>
            </w:r>
            <w:proofErr w:type="gramStart"/>
            <w:r>
              <w:rPr>
                <w:rFonts w:ascii="Arial" w:eastAsia="Times New Roman" w:hAnsi="Arial" w:cs="Arial"/>
              </w:rPr>
              <w:t>average across</w:t>
            </w:r>
            <w:proofErr w:type="gramEnd"/>
            <w:r>
              <w:rPr>
                <w:rFonts w:ascii="Arial" w:eastAsia="Times New Roman" w:hAnsi="Arial" w:cs="Arial"/>
              </w:rPr>
              <w:t xml:space="preserve"> Wellfleet’s book of business PA requests are processed within 1 business day. </w:t>
            </w:r>
          </w:p>
          <w:p w14:paraId="1AC091B6"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Authorizations for both M/S and MHSUD drugs are valid for 365 days from approval. Approvals may be for a shorter duration if the FDA labeling guidelines have strict duration of therapy limits or monitoring requirements after initiation. Other exceptions are for products that have regulatory implications, which will be approved based on the regulatory statute.</w:t>
            </w:r>
          </w:p>
          <w:p w14:paraId="68A2A060"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Appeals turnaround times are the same for all drugs and are dependent on federal and state regulations to ensure compliance.</w:t>
            </w:r>
          </w:p>
          <w:p w14:paraId="41EF68A1" w14:textId="77777777" w:rsidR="00540F00" w:rsidRDefault="00540F00">
            <w:pPr>
              <w:rPr>
                <w:rFonts w:ascii="Arial" w:eastAsia="Times New Roman" w:hAnsi="Arial" w:cs="Arial"/>
              </w:rPr>
            </w:pPr>
          </w:p>
          <w:p w14:paraId="188DB598" w14:textId="77777777" w:rsidR="00540F00" w:rsidRDefault="00540F00">
            <w:pPr>
              <w:rPr>
                <w:rFonts w:ascii="Arial" w:eastAsia="Times New Roman" w:hAnsi="Arial" w:cs="Arial"/>
              </w:rPr>
            </w:pPr>
            <w:r>
              <w:rPr>
                <w:rFonts w:ascii="Arial" w:eastAsia="Times New Roman" w:hAnsi="Arial" w:cs="Arial"/>
                <w:i/>
              </w:rPr>
              <w:t>Forms and/or other information required to be submitted by the provider</w:t>
            </w:r>
            <w:r>
              <w:rPr>
                <w:rFonts w:ascii="Arial" w:eastAsia="Times New Roman" w:hAnsi="Arial" w:cs="Arial"/>
              </w:rPr>
              <w:t>:</w:t>
            </w:r>
          </w:p>
          <w:p w14:paraId="0F7C382D"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 xml:space="preserve">Providers can request Prior Authorizations by calling Express Scripts Prior Authorization department directly, utilizing </w:t>
            </w:r>
            <w:proofErr w:type="spellStart"/>
            <w:r>
              <w:rPr>
                <w:rFonts w:ascii="Arial" w:eastAsia="Times New Roman" w:hAnsi="Arial" w:cs="Arial"/>
              </w:rPr>
              <w:t>CoverMyMeds</w:t>
            </w:r>
            <w:proofErr w:type="spellEnd"/>
            <w:r>
              <w:rPr>
                <w:rFonts w:ascii="Arial" w:eastAsia="Times New Roman" w:hAnsi="Arial" w:cs="Arial"/>
              </w:rPr>
              <w:t xml:space="preserve">, Express Path, or </w:t>
            </w:r>
            <w:proofErr w:type="spellStart"/>
            <w:r>
              <w:rPr>
                <w:rFonts w:ascii="Arial" w:eastAsia="Times New Roman" w:hAnsi="Arial" w:cs="Arial"/>
              </w:rPr>
              <w:t>SureScripts</w:t>
            </w:r>
            <w:proofErr w:type="spellEnd"/>
            <w:r>
              <w:rPr>
                <w:rFonts w:ascii="Arial" w:eastAsia="Times New Roman" w:hAnsi="Arial" w:cs="Arial"/>
              </w:rPr>
              <w:t xml:space="preserve"> </w:t>
            </w:r>
            <w:proofErr w:type="spellStart"/>
            <w:r>
              <w:rPr>
                <w:rFonts w:ascii="Arial" w:eastAsia="Times New Roman" w:hAnsi="Arial" w:cs="Arial"/>
              </w:rPr>
              <w:t>ePA</w:t>
            </w:r>
            <w:proofErr w:type="spellEnd"/>
            <w:r>
              <w:rPr>
                <w:rFonts w:ascii="Arial" w:eastAsia="Times New Roman" w:hAnsi="Arial" w:cs="Arial"/>
              </w:rPr>
              <w:t xml:space="preserve"> software, or by completing a Prior Authorization Request Form and faxing directly to Express Scripts Prior Authorization department.</w:t>
            </w:r>
          </w:p>
          <w:p w14:paraId="2B83D36A"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 xml:space="preserve">Providers may be required to submit lab/test results for approval. This requirement is based </w:t>
            </w:r>
            <w:proofErr w:type="gramStart"/>
            <w:r>
              <w:rPr>
                <w:rFonts w:ascii="Arial" w:eastAsia="Times New Roman" w:hAnsi="Arial" w:cs="Arial"/>
              </w:rPr>
              <w:t>off of</w:t>
            </w:r>
            <w:proofErr w:type="gramEnd"/>
            <w:r>
              <w:rPr>
                <w:rFonts w:ascii="Arial" w:eastAsia="Times New Roman" w:hAnsi="Arial" w:cs="Arial"/>
              </w:rPr>
              <w:t xml:space="preserve"> requirements laid out in the FDA labeling information or Clinical Guidelines specific to the diagnoses that the particular drug product in question is indicated for. For example, the use of Humira has a weight minimum for </w:t>
            </w:r>
            <w:proofErr w:type="gramStart"/>
            <w:r>
              <w:rPr>
                <w:rFonts w:ascii="Arial" w:eastAsia="Times New Roman" w:hAnsi="Arial" w:cs="Arial"/>
              </w:rPr>
              <w:t>particular indications</w:t>
            </w:r>
            <w:proofErr w:type="gramEnd"/>
            <w:r>
              <w:rPr>
                <w:rFonts w:ascii="Arial" w:eastAsia="Times New Roman" w:hAnsi="Arial" w:cs="Arial"/>
              </w:rPr>
              <w:t xml:space="preserve">. Documentation of the patient’s weight is required </w:t>
            </w:r>
            <w:proofErr w:type="gramStart"/>
            <w:r>
              <w:rPr>
                <w:rFonts w:ascii="Arial" w:eastAsia="Times New Roman" w:hAnsi="Arial" w:cs="Arial"/>
              </w:rPr>
              <w:t>in order to</w:t>
            </w:r>
            <w:proofErr w:type="gramEnd"/>
            <w:r>
              <w:rPr>
                <w:rFonts w:ascii="Arial" w:eastAsia="Times New Roman" w:hAnsi="Arial" w:cs="Arial"/>
              </w:rPr>
              <w:t xml:space="preserve"> get approval for this product. Also, narcolepsy without cataplexy should be confirmed via Epworth Sleepiness Scales. </w:t>
            </w:r>
            <w:proofErr w:type="spellStart"/>
            <w:r>
              <w:rPr>
                <w:rFonts w:ascii="Arial" w:eastAsia="Times New Roman" w:hAnsi="Arial" w:cs="Arial"/>
              </w:rPr>
              <w:t>Xyrem</w:t>
            </w:r>
            <w:proofErr w:type="spellEnd"/>
            <w:r>
              <w:rPr>
                <w:rFonts w:ascii="Arial" w:eastAsia="Times New Roman" w:hAnsi="Arial" w:cs="Arial"/>
              </w:rPr>
              <w:t xml:space="preserve">, a product indicated for this diagnosis, requires documentation of this test being performed and indicating the correct diagnosis.  </w:t>
            </w:r>
          </w:p>
          <w:p w14:paraId="7B5264C4" w14:textId="77777777" w:rsidR="00540F00" w:rsidRDefault="00540F00">
            <w:pPr>
              <w:rPr>
                <w:rFonts w:ascii="Arial" w:eastAsia="Times New Roman" w:hAnsi="Arial" w:cs="Arial"/>
              </w:rPr>
            </w:pPr>
          </w:p>
          <w:p w14:paraId="087E1EC1" w14:textId="77777777" w:rsidR="00540F00" w:rsidRDefault="00540F00">
            <w:pPr>
              <w:rPr>
                <w:rFonts w:ascii="Arial" w:eastAsia="Times New Roman" w:hAnsi="Arial" w:cs="Arial"/>
              </w:rPr>
            </w:pPr>
            <w:r>
              <w:rPr>
                <w:rFonts w:ascii="Arial" w:eastAsia="Times New Roman" w:hAnsi="Arial" w:cs="Arial"/>
                <w:i/>
              </w:rPr>
              <w:t xml:space="preserve">Utilization management manuals and any other documentation of UM processes that are relied upon to </w:t>
            </w:r>
            <w:proofErr w:type="gramStart"/>
            <w:r>
              <w:rPr>
                <w:rFonts w:ascii="Arial" w:eastAsia="Times New Roman" w:hAnsi="Arial" w:cs="Arial"/>
                <w:i/>
              </w:rPr>
              <w:t>make a determination</w:t>
            </w:r>
            <w:proofErr w:type="gramEnd"/>
            <w:r>
              <w:rPr>
                <w:rFonts w:ascii="Arial" w:eastAsia="Times New Roman" w:hAnsi="Arial" w:cs="Arial"/>
              </w:rPr>
              <w:t>:</w:t>
            </w:r>
          </w:p>
          <w:p w14:paraId="696E880F"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 xml:space="preserve">All Prior Authorization guidelines (M/S and MH/SUD) are gathered into one PDF document that is available to members, providers, and the </w:t>
            </w:r>
            <w:proofErr w:type="gramStart"/>
            <w:r>
              <w:rPr>
                <w:rFonts w:ascii="Arial" w:eastAsia="Times New Roman" w:hAnsi="Arial" w:cs="Arial"/>
              </w:rPr>
              <w:t>general public</w:t>
            </w:r>
            <w:proofErr w:type="gramEnd"/>
            <w:r>
              <w:rPr>
                <w:rFonts w:ascii="Arial" w:eastAsia="Times New Roman" w:hAnsi="Arial" w:cs="Arial"/>
              </w:rPr>
              <w:t>. It is posted at https://wellfleetrx.com/students/formularies/. This publication is updated at least quarterly.</w:t>
            </w:r>
          </w:p>
          <w:p w14:paraId="50669F42"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hAnsi="Arial" w:cs="Arial"/>
              </w:rPr>
              <w:t xml:space="preserve">The P&amp;T Policy &amp; Procedures and Formulary Management Policy are reviewed by Wellfleet’s Chief Medical Officer, Director of Clinical Programs, and Clinical Pharmacist, at least annually to ensure there is no verbiage indicating a bias towards any </w:t>
            </w:r>
            <w:proofErr w:type="gramStart"/>
            <w:r>
              <w:rPr>
                <w:rFonts w:ascii="Arial" w:hAnsi="Arial" w:cs="Arial"/>
              </w:rPr>
              <w:t>particular subset</w:t>
            </w:r>
            <w:proofErr w:type="gramEnd"/>
            <w:r>
              <w:rPr>
                <w:rFonts w:ascii="Arial" w:hAnsi="Arial" w:cs="Arial"/>
              </w:rPr>
              <w:t xml:space="preserve"> of drugs. These policies dictate that all decisions should be based </w:t>
            </w:r>
            <w:proofErr w:type="gramStart"/>
            <w:r>
              <w:rPr>
                <w:rFonts w:ascii="Arial" w:hAnsi="Arial" w:cs="Arial"/>
              </w:rPr>
              <w:t>off of</w:t>
            </w:r>
            <w:proofErr w:type="gramEnd"/>
            <w:r>
              <w:rPr>
                <w:rFonts w:ascii="Arial" w:hAnsi="Arial" w:cs="Arial"/>
              </w:rPr>
              <w:t xml:space="preserve"> the clinical merits of the drug, not the classification of </w:t>
            </w:r>
            <w:proofErr w:type="gramStart"/>
            <w:r>
              <w:rPr>
                <w:rFonts w:ascii="Arial" w:hAnsi="Arial" w:cs="Arial"/>
              </w:rPr>
              <w:t>drug</w:t>
            </w:r>
            <w:proofErr w:type="gramEnd"/>
            <w:r>
              <w:rPr>
                <w:rFonts w:ascii="Arial" w:hAnsi="Arial" w:cs="Arial"/>
              </w:rPr>
              <w:t xml:space="preserve"> itself. Prior authorization is imposed on drug products based on the factors presented previously for both classifications of drugs. In the review of the P&amp;T policy, it is stated that “The clinical decisions made by the P&amp;T Committee are based on sound scientific evidence and standards of practice that include: 1. Assessing peer-reviewed medical literature. 2. Referencing published practice guidelines. 3. Comparing efficacy, side effects, and potential drug interactions among alternative drug therapies. 4. Assessing impact of formulary decisions to patient compliance.” There is also the presence of a non-discriminatory section, stating that members shall not “discriminate based on age, disability, race, ethnicity, gender, sexual orientation, or health status.” Members non-adhering to either of these statements will be recused from the committee. No recusals have been a result of non-adherence to these policies.</w:t>
            </w:r>
          </w:p>
          <w:p w14:paraId="0BF891D4" w14:textId="77777777" w:rsidR="00540F00" w:rsidRDefault="00540F00">
            <w:pPr>
              <w:rPr>
                <w:rFonts w:ascii="Arial" w:eastAsia="Times New Roman" w:hAnsi="Arial" w:cs="Arial"/>
              </w:rPr>
            </w:pPr>
          </w:p>
          <w:p w14:paraId="1B9925B6" w14:textId="77777777" w:rsidR="00540F00" w:rsidRDefault="00540F00">
            <w:pPr>
              <w:rPr>
                <w:rFonts w:ascii="Arial" w:eastAsia="Times New Roman" w:hAnsi="Arial" w:cs="Arial"/>
                <w:i/>
                <w:iCs/>
              </w:rPr>
            </w:pPr>
            <w:r>
              <w:rPr>
                <w:rFonts w:ascii="Arial" w:eastAsia="Times New Roman" w:hAnsi="Arial" w:cs="Arial"/>
                <w:i/>
                <w:iCs/>
              </w:rPr>
              <w:t xml:space="preserve">Relevant </w:t>
            </w:r>
            <w:proofErr w:type="gramStart"/>
            <w:r>
              <w:rPr>
                <w:rFonts w:ascii="Arial" w:eastAsia="Times New Roman" w:hAnsi="Arial" w:cs="Arial"/>
                <w:i/>
                <w:iCs/>
              </w:rPr>
              <w:t>Decision Making</w:t>
            </w:r>
            <w:proofErr w:type="gramEnd"/>
            <w:r>
              <w:rPr>
                <w:rFonts w:ascii="Arial" w:eastAsia="Times New Roman" w:hAnsi="Arial" w:cs="Arial"/>
                <w:i/>
                <w:iCs/>
              </w:rPr>
              <w:t xml:space="preserve"> Committees </w:t>
            </w:r>
          </w:p>
          <w:p w14:paraId="5D488916" w14:textId="77777777" w:rsidR="00540F00" w:rsidRDefault="00540F00" w:rsidP="00540F00">
            <w:pPr>
              <w:pStyle w:val="ListParagraph"/>
              <w:numPr>
                <w:ilvl w:val="0"/>
                <w:numId w:val="68"/>
              </w:numPr>
              <w:spacing w:after="0" w:line="240" w:lineRule="auto"/>
              <w:rPr>
                <w:rFonts w:ascii="Arial" w:eastAsia="Times New Roman" w:hAnsi="Arial" w:cs="Arial"/>
                <w:i/>
                <w:iCs/>
              </w:rPr>
            </w:pPr>
            <w:r>
              <w:rPr>
                <w:rFonts w:ascii="Arial" w:eastAsia="Times New Roman" w:hAnsi="Arial" w:cs="Arial"/>
              </w:rPr>
              <w:t>P&amp;T Committee</w:t>
            </w:r>
          </w:p>
          <w:p w14:paraId="42C00641" w14:textId="77777777" w:rsidR="00540F00" w:rsidRDefault="00540F00" w:rsidP="00540F00">
            <w:pPr>
              <w:pStyle w:val="ListParagraph"/>
              <w:numPr>
                <w:ilvl w:val="1"/>
                <w:numId w:val="68"/>
              </w:numPr>
              <w:spacing w:after="0" w:line="240" w:lineRule="auto"/>
              <w:rPr>
                <w:rFonts w:ascii="Arial" w:eastAsia="Times New Roman" w:hAnsi="Arial" w:cs="Arial"/>
              </w:rPr>
            </w:pPr>
            <w:r>
              <w:rPr>
                <w:rFonts w:ascii="Arial" w:eastAsia="Times New Roman" w:hAnsi="Arial" w:cs="Arial"/>
              </w:rPr>
              <w:t>The P&amp;T Committee is responsible for assessing the clinical merits of drug therapies. The committee shall provide clinical rationale and guidance on formulary placement. The Value Assessment Committee (VAC) follows the P&amp;T Committee recommendations to finalize formulary placement decisions.</w:t>
            </w:r>
          </w:p>
          <w:p w14:paraId="5BBCCFB7" w14:textId="77777777" w:rsidR="00540F00" w:rsidRDefault="00540F00" w:rsidP="00540F00">
            <w:pPr>
              <w:pStyle w:val="ListParagraph"/>
              <w:numPr>
                <w:ilvl w:val="1"/>
                <w:numId w:val="68"/>
              </w:numPr>
              <w:spacing w:after="0" w:line="240" w:lineRule="auto"/>
              <w:rPr>
                <w:rFonts w:ascii="Arial" w:eastAsia="Times New Roman" w:hAnsi="Arial" w:cs="Arial"/>
              </w:rPr>
            </w:pPr>
            <w:r>
              <w:rPr>
                <w:rFonts w:ascii="Arial" w:eastAsia="Times New Roman" w:hAnsi="Arial" w:cs="Arial"/>
              </w:rPr>
              <w:t>The P&amp;T Committee is responsible for approving any new Utilization Management policies (guidelines) or negative changes (any change creating a larger barrier to member access) to these guidelines. If a guideline change includes any criteria that differs from the FDA approved labeling information, it will also require justification and approval from the P&amp;T Committee. Guidelines shall also be reviewed annually for approval. At each P&amp;T meeting, the new, updated, and a quarter of all other guidelines will be discussed and approved/denied.</w:t>
            </w:r>
          </w:p>
          <w:p w14:paraId="75799318"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Value Assessment Committee (VAC)</w:t>
            </w:r>
          </w:p>
          <w:p w14:paraId="540CE3F9" w14:textId="77777777" w:rsidR="00540F00" w:rsidRDefault="00540F00" w:rsidP="00540F00">
            <w:pPr>
              <w:pStyle w:val="ListParagraph"/>
              <w:numPr>
                <w:ilvl w:val="1"/>
                <w:numId w:val="68"/>
              </w:numPr>
              <w:spacing w:after="0" w:line="240" w:lineRule="auto"/>
              <w:rPr>
                <w:rFonts w:ascii="Arial" w:eastAsia="Times New Roman" w:hAnsi="Arial" w:cs="Arial"/>
              </w:rPr>
            </w:pPr>
            <w:r>
              <w:rPr>
                <w:rFonts w:ascii="Arial" w:eastAsia="Times New Roman" w:hAnsi="Arial" w:cs="Arial"/>
              </w:rPr>
              <w:t>The VAC is responsible for determining tiering and Utilization Management decisions for drugs that are designed as ‘include’ by the P&amp;T Committee. These drugs shall not be removed from formulary without prior approval from the P&amp;T Committee. Also, determining coverage, tiering, and Utilization Management decisions for drugs that are designated as ‘optional’ by the P&amp;T Committee.</w:t>
            </w:r>
          </w:p>
          <w:p w14:paraId="0D92A2CC" w14:textId="77777777" w:rsidR="00540F00" w:rsidRDefault="00540F00">
            <w:pPr>
              <w:rPr>
                <w:rFonts w:ascii="Arial" w:eastAsia="Times New Roman" w:hAnsi="Arial" w:cs="Arial"/>
              </w:rPr>
            </w:pPr>
          </w:p>
          <w:p w14:paraId="303E935C" w14:textId="77777777" w:rsidR="00540F00" w:rsidRDefault="00540F00">
            <w:pPr>
              <w:rPr>
                <w:rFonts w:ascii="Arial" w:eastAsia="Times New Roman" w:hAnsi="Arial" w:cs="Arial"/>
              </w:rPr>
            </w:pPr>
            <w:r>
              <w:rPr>
                <w:rFonts w:ascii="Arial" w:eastAsia="Times New Roman" w:hAnsi="Arial" w:cs="Arial"/>
                <w:i/>
              </w:rPr>
              <w:t>Minimum qualifications for reviewers</w:t>
            </w:r>
            <w:r>
              <w:rPr>
                <w:rFonts w:ascii="Arial" w:eastAsia="Times New Roman" w:hAnsi="Arial" w:cs="Arial"/>
              </w:rPr>
              <w:t>:</w:t>
            </w:r>
          </w:p>
          <w:p w14:paraId="6BA80623"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 xml:space="preserve">To become members of the P&amp;T Committee, the physicians must be board certified licensed physicians with over 5 years of experience in their respective fields. We use the clinical expertise of the P&amp;T Committee members along with published clinical guidelines and scientific evidence to achieve consensus </w:t>
            </w:r>
            <w:proofErr w:type="gramStart"/>
            <w:r>
              <w:rPr>
                <w:rFonts w:ascii="Arial" w:eastAsia="Times New Roman" w:hAnsi="Arial" w:cs="Arial"/>
              </w:rPr>
              <w:t>in order to</w:t>
            </w:r>
            <w:proofErr w:type="gramEnd"/>
            <w:r>
              <w:rPr>
                <w:rFonts w:ascii="Arial" w:eastAsia="Times New Roman" w:hAnsi="Arial" w:cs="Arial"/>
              </w:rPr>
              <w:t xml:space="preserve"> set Prior Authorization.</w:t>
            </w:r>
          </w:p>
          <w:p w14:paraId="28006520"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Every PAR, UMP, Nurse, and Medical Director goes through extensive training to make sure we are providing the most complete and comprehensive service for each one of our members. The training consists of both in classroom, on the job shadowing, monthly quality reviewing of cases, and weekly meetings to provide any new/updated information that needs to be shared with the teams.</w:t>
            </w:r>
          </w:p>
          <w:p w14:paraId="32345292" w14:textId="77777777" w:rsidR="00540F00" w:rsidRDefault="00540F00">
            <w:pPr>
              <w:rPr>
                <w:rFonts w:ascii="Arial" w:eastAsia="Times New Roman" w:hAnsi="Arial" w:cs="Arial"/>
              </w:rPr>
            </w:pPr>
          </w:p>
          <w:p w14:paraId="543DC8FE" w14:textId="77777777" w:rsidR="00540F00" w:rsidRDefault="00540F00">
            <w:pPr>
              <w:rPr>
                <w:rFonts w:ascii="Arial" w:eastAsia="Times New Roman" w:hAnsi="Arial" w:cs="Arial"/>
              </w:rPr>
            </w:pPr>
            <w:r>
              <w:rPr>
                <w:rFonts w:ascii="Arial" w:eastAsia="Times New Roman" w:hAnsi="Arial" w:cs="Arial"/>
                <w:i/>
              </w:rPr>
              <w:t>Minimum standards to issue a denial (e.g. sign-off from a physician with relevant board certification)</w:t>
            </w:r>
            <w:r>
              <w:rPr>
                <w:rFonts w:ascii="Arial" w:eastAsia="Times New Roman" w:hAnsi="Arial" w:cs="Arial"/>
              </w:rPr>
              <w:t>:</w:t>
            </w:r>
          </w:p>
          <w:p w14:paraId="61549961"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 xml:space="preserve">In lieu of drug specific Prior Authorization criteria, or prior to the creation of drug specific criteria, if a drug is designated as “PA Required”, we will utilize our “Guideline for Drugs without PA Criteria” to </w:t>
            </w:r>
            <w:proofErr w:type="gramStart"/>
            <w:r>
              <w:rPr>
                <w:rFonts w:ascii="Arial" w:eastAsia="Times New Roman" w:hAnsi="Arial" w:cs="Arial"/>
              </w:rPr>
              <w:t>make a determination</w:t>
            </w:r>
            <w:proofErr w:type="gramEnd"/>
            <w:r>
              <w:rPr>
                <w:rFonts w:ascii="Arial" w:eastAsia="Times New Roman" w:hAnsi="Arial" w:cs="Arial"/>
              </w:rPr>
              <w:t xml:space="preserve"> of approval. This guideline requires that the requested medication be used for an indication that is approved by the FDA or listed in the package insert, and that the patient meets any additional requirements listed in the “Indications and Usage” section of the FDA-approved prescribing information.</w:t>
            </w:r>
          </w:p>
          <w:p w14:paraId="058D07AB" w14:textId="77777777" w:rsidR="00540F00" w:rsidRDefault="00540F00">
            <w:pPr>
              <w:rPr>
                <w:rFonts w:ascii="Arial" w:eastAsia="Times New Roman" w:hAnsi="Arial" w:cs="Arial"/>
              </w:rPr>
            </w:pPr>
          </w:p>
          <w:p w14:paraId="0E6BCE0B" w14:textId="77777777" w:rsid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 xml:space="preserve">If a member does not meet requirements laid </w:t>
            </w:r>
            <w:proofErr w:type="spellStart"/>
            <w:proofErr w:type="gramStart"/>
            <w:r>
              <w:rPr>
                <w:rFonts w:ascii="Arial" w:eastAsia="Times New Roman" w:hAnsi="Arial" w:cs="Arial"/>
              </w:rPr>
              <w:t>our</w:t>
            </w:r>
            <w:proofErr w:type="spellEnd"/>
            <w:proofErr w:type="gramEnd"/>
            <w:r>
              <w:rPr>
                <w:rFonts w:ascii="Arial" w:eastAsia="Times New Roman" w:hAnsi="Arial" w:cs="Arial"/>
              </w:rPr>
              <w:t xml:space="preserve"> in Prior Authorization guidelines, they will be issued a denial. If the member elects to appeal, they will be asked to submit further documentation in support of use of the product (ex. case-studies supporting use, off-label usage recommended in clinical guidelines, </w:t>
            </w:r>
            <w:proofErr w:type="spellStart"/>
            <w:r>
              <w:rPr>
                <w:rFonts w:ascii="Arial" w:eastAsia="Times New Roman" w:hAnsi="Arial" w:cs="Arial"/>
              </w:rPr>
              <w:t>etc</w:t>
            </w:r>
            <w:proofErr w:type="spellEnd"/>
            <w:r>
              <w:rPr>
                <w:rFonts w:ascii="Arial" w:eastAsia="Times New Roman" w:hAnsi="Arial" w:cs="Arial"/>
              </w:rPr>
              <w:t>). This process is the same for both M/S and MH/SUD drugs.</w:t>
            </w:r>
          </w:p>
          <w:p w14:paraId="6168D3ED" w14:textId="0D5C739C" w:rsidR="00540F00" w:rsidRPr="00540F00" w:rsidRDefault="00540F00" w:rsidP="00540F00">
            <w:pPr>
              <w:pStyle w:val="ListParagraph"/>
              <w:numPr>
                <w:ilvl w:val="0"/>
                <w:numId w:val="68"/>
              </w:numPr>
              <w:spacing w:after="0" w:line="240" w:lineRule="auto"/>
              <w:rPr>
                <w:rFonts w:ascii="Arial" w:eastAsia="Times New Roman" w:hAnsi="Arial" w:cs="Arial"/>
              </w:rPr>
            </w:pPr>
            <w:r>
              <w:rPr>
                <w:rFonts w:ascii="Arial" w:eastAsia="Times New Roman" w:hAnsi="Arial" w:cs="Arial"/>
              </w:rPr>
              <w:t xml:space="preserve">Depending on state requirements, a denial may only be issued by certain individuals with </w:t>
            </w:r>
            <w:proofErr w:type="gramStart"/>
            <w:r>
              <w:rPr>
                <w:rFonts w:ascii="Arial" w:eastAsia="Times New Roman" w:hAnsi="Arial" w:cs="Arial"/>
              </w:rPr>
              <w:t>particular qualifications</w:t>
            </w:r>
            <w:proofErr w:type="gramEnd"/>
            <w:r>
              <w:rPr>
                <w:rFonts w:ascii="Arial" w:eastAsia="Times New Roman" w:hAnsi="Arial" w:cs="Arial"/>
              </w:rPr>
              <w:t xml:space="preserve"> (e.g. physician with same/similar specialty licensed in the same state, pharmacist, etc.). This is kept consistent for M/S and MH/SUD.</w:t>
            </w:r>
          </w:p>
        </w:tc>
        <w:tc>
          <w:tcPr>
            <w:tcW w:w="2500" w:type="pct"/>
            <w:tcBorders>
              <w:top w:val="single" w:sz="4" w:space="0" w:color="auto"/>
              <w:left w:val="single" w:sz="4" w:space="0" w:color="auto"/>
              <w:bottom w:val="single" w:sz="4" w:space="0" w:color="auto"/>
              <w:right w:val="single" w:sz="4" w:space="0" w:color="auto"/>
            </w:tcBorders>
          </w:tcPr>
          <w:p w14:paraId="75F2D95D" w14:textId="77777777" w:rsidR="00540F00" w:rsidRDefault="00540F00">
            <w:pPr>
              <w:rPr>
                <w:rFonts w:ascii="Arial" w:eastAsia="Times New Roman" w:hAnsi="Arial" w:cs="Arial"/>
              </w:rPr>
            </w:pPr>
            <w:r>
              <w:rPr>
                <w:rFonts w:ascii="Arial" w:eastAsia="Times New Roman" w:hAnsi="Arial" w:cs="Arial"/>
                <w:i/>
              </w:rPr>
              <w:t>Timelines and deadlines, including the frequency with which re-authorizations are required</w:t>
            </w:r>
            <w:r>
              <w:rPr>
                <w:rFonts w:ascii="Arial" w:eastAsia="Times New Roman" w:hAnsi="Arial" w:cs="Arial"/>
              </w:rPr>
              <w:t>:</w:t>
            </w:r>
          </w:p>
          <w:p w14:paraId="0089C85D" w14:textId="77777777" w:rsidR="00540F00" w:rsidRDefault="00540F00" w:rsidP="00540F00">
            <w:pPr>
              <w:pStyle w:val="ListParagraph"/>
              <w:numPr>
                <w:ilvl w:val="0"/>
                <w:numId w:val="56"/>
              </w:numPr>
              <w:spacing w:after="0" w:line="240" w:lineRule="auto"/>
              <w:rPr>
                <w:rFonts w:ascii="Arial" w:eastAsia="Times New Roman" w:hAnsi="Arial" w:cs="Arial"/>
              </w:rPr>
            </w:pPr>
            <w:r>
              <w:rPr>
                <w:rFonts w:ascii="Arial" w:eastAsia="Times New Roman" w:hAnsi="Arial" w:cs="Arial"/>
              </w:rPr>
              <w:t>Same as M/S</w:t>
            </w:r>
          </w:p>
          <w:p w14:paraId="40D849C3" w14:textId="77777777" w:rsidR="00540F00" w:rsidRDefault="00540F00">
            <w:pPr>
              <w:rPr>
                <w:rFonts w:ascii="Arial" w:eastAsia="Times New Roman" w:hAnsi="Arial" w:cs="Arial"/>
              </w:rPr>
            </w:pPr>
          </w:p>
          <w:p w14:paraId="44929D99" w14:textId="77777777" w:rsidR="00540F00" w:rsidRDefault="00540F00">
            <w:pPr>
              <w:rPr>
                <w:rFonts w:ascii="Arial" w:eastAsia="Times New Roman" w:hAnsi="Arial" w:cs="Arial"/>
              </w:rPr>
            </w:pPr>
          </w:p>
          <w:p w14:paraId="47B4E121" w14:textId="77777777" w:rsidR="00540F00" w:rsidRDefault="00540F00">
            <w:pPr>
              <w:rPr>
                <w:rFonts w:ascii="Arial" w:eastAsia="Times New Roman" w:hAnsi="Arial" w:cs="Arial"/>
                <w:i/>
              </w:rPr>
            </w:pPr>
          </w:p>
          <w:p w14:paraId="012D9412" w14:textId="77777777" w:rsidR="00540F00" w:rsidRDefault="00540F00">
            <w:pPr>
              <w:rPr>
                <w:rFonts w:ascii="Arial" w:eastAsia="Times New Roman" w:hAnsi="Arial" w:cs="Arial"/>
                <w:i/>
              </w:rPr>
            </w:pPr>
          </w:p>
          <w:p w14:paraId="4C962B4A" w14:textId="77777777" w:rsidR="00540F00" w:rsidRDefault="00540F00">
            <w:pPr>
              <w:rPr>
                <w:rFonts w:ascii="Arial" w:eastAsia="Times New Roman" w:hAnsi="Arial" w:cs="Arial"/>
                <w:i/>
              </w:rPr>
            </w:pPr>
          </w:p>
          <w:p w14:paraId="38078AEE" w14:textId="77777777" w:rsidR="00540F00" w:rsidRDefault="00540F00">
            <w:pPr>
              <w:rPr>
                <w:rFonts w:ascii="Arial" w:eastAsia="Times New Roman" w:hAnsi="Arial" w:cs="Arial"/>
                <w:i/>
              </w:rPr>
            </w:pPr>
          </w:p>
          <w:p w14:paraId="1469919F" w14:textId="77777777" w:rsidR="00540F00" w:rsidRDefault="00540F00">
            <w:pPr>
              <w:rPr>
                <w:rFonts w:ascii="Arial" w:eastAsia="Times New Roman" w:hAnsi="Arial" w:cs="Arial"/>
                <w:i/>
              </w:rPr>
            </w:pPr>
          </w:p>
          <w:p w14:paraId="31044D57" w14:textId="77777777" w:rsidR="00540F00" w:rsidRDefault="00540F00">
            <w:pPr>
              <w:rPr>
                <w:rFonts w:ascii="Arial" w:eastAsia="Times New Roman" w:hAnsi="Arial" w:cs="Arial"/>
                <w:i/>
              </w:rPr>
            </w:pPr>
          </w:p>
          <w:p w14:paraId="0D17CE83" w14:textId="77777777" w:rsidR="00540F00" w:rsidRDefault="00540F00">
            <w:pPr>
              <w:rPr>
                <w:rFonts w:ascii="Arial" w:eastAsia="Times New Roman" w:hAnsi="Arial" w:cs="Arial"/>
                <w:i/>
              </w:rPr>
            </w:pPr>
          </w:p>
          <w:p w14:paraId="655A2B23" w14:textId="77777777" w:rsidR="00540F00" w:rsidRDefault="00540F00">
            <w:pPr>
              <w:rPr>
                <w:rFonts w:ascii="Arial" w:eastAsia="Times New Roman" w:hAnsi="Arial" w:cs="Arial"/>
                <w:i/>
              </w:rPr>
            </w:pPr>
          </w:p>
          <w:p w14:paraId="4F35DCB8" w14:textId="77777777" w:rsidR="00540F00" w:rsidRDefault="00540F00">
            <w:pPr>
              <w:rPr>
                <w:rFonts w:ascii="Arial" w:eastAsia="Times New Roman" w:hAnsi="Arial" w:cs="Arial"/>
              </w:rPr>
            </w:pPr>
            <w:r>
              <w:rPr>
                <w:rFonts w:ascii="Arial" w:eastAsia="Times New Roman" w:hAnsi="Arial" w:cs="Arial"/>
                <w:i/>
              </w:rPr>
              <w:t>Forms and/or other information required to be submitted by the provider</w:t>
            </w:r>
            <w:r>
              <w:rPr>
                <w:rFonts w:ascii="Arial" w:eastAsia="Times New Roman" w:hAnsi="Arial" w:cs="Arial"/>
              </w:rPr>
              <w:t>:</w:t>
            </w:r>
          </w:p>
          <w:p w14:paraId="6061541C" w14:textId="77777777" w:rsidR="00540F00" w:rsidRDefault="00540F00" w:rsidP="00540F00">
            <w:pPr>
              <w:pStyle w:val="ListParagraph"/>
              <w:numPr>
                <w:ilvl w:val="0"/>
                <w:numId w:val="56"/>
              </w:numPr>
              <w:spacing w:after="0" w:line="240" w:lineRule="auto"/>
              <w:rPr>
                <w:rFonts w:ascii="Arial" w:eastAsia="Times New Roman" w:hAnsi="Arial" w:cs="Arial"/>
              </w:rPr>
            </w:pPr>
            <w:r>
              <w:rPr>
                <w:rFonts w:ascii="Arial" w:eastAsia="Times New Roman" w:hAnsi="Arial" w:cs="Arial"/>
              </w:rPr>
              <w:t>Same as M/S</w:t>
            </w:r>
          </w:p>
          <w:p w14:paraId="10E4AB23" w14:textId="77777777" w:rsidR="00540F00" w:rsidRDefault="00540F00">
            <w:pPr>
              <w:rPr>
                <w:rFonts w:ascii="Arial" w:eastAsia="Times New Roman" w:hAnsi="Arial" w:cs="Arial"/>
              </w:rPr>
            </w:pPr>
          </w:p>
          <w:p w14:paraId="2F8625F2" w14:textId="77777777" w:rsidR="00540F00" w:rsidRDefault="00540F00">
            <w:pPr>
              <w:rPr>
                <w:rFonts w:ascii="Arial" w:eastAsia="Times New Roman" w:hAnsi="Arial" w:cs="Arial"/>
              </w:rPr>
            </w:pPr>
          </w:p>
          <w:p w14:paraId="486A92A6" w14:textId="77777777" w:rsidR="00540F00" w:rsidRDefault="00540F00">
            <w:pPr>
              <w:rPr>
                <w:rFonts w:ascii="Arial" w:eastAsia="Times New Roman" w:hAnsi="Arial" w:cs="Arial"/>
                <w:i/>
              </w:rPr>
            </w:pPr>
          </w:p>
          <w:p w14:paraId="3B88CD10" w14:textId="77777777" w:rsidR="00540F00" w:rsidRDefault="00540F00">
            <w:pPr>
              <w:rPr>
                <w:rFonts w:ascii="Arial" w:eastAsia="Times New Roman" w:hAnsi="Arial" w:cs="Arial"/>
                <w:i/>
              </w:rPr>
            </w:pPr>
          </w:p>
          <w:p w14:paraId="0A2FA1BA" w14:textId="77777777" w:rsidR="00540F00" w:rsidRDefault="00540F00">
            <w:pPr>
              <w:rPr>
                <w:rFonts w:ascii="Arial" w:eastAsia="Times New Roman" w:hAnsi="Arial" w:cs="Arial"/>
                <w:i/>
              </w:rPr>
            </w:pPr>
          </w:p>
          <w:p w14:paraId="605C17E9" w14:textId="77777777" w:rsidR="00540F00" w:rsidRDefault="00540F00">
            <w:pPr>
              <w:rPr>
                <w:rFonts w:ascii="Arial" w:eastAsia="Times New Roman" w:hAnsi="Arial" w:cs="Arial"/>
                <w:i/>
              </w:rPr>
            </w:pPr>
          </w:p>
          <w:p w14:paraId="480E4074" w14:textId="77777777" w:rsidR="00540F00" w:rsidRDefault="00540F00">
            <w:pPr>
              <w:rPr>
                <w:rFonts w:ascii="Arial" w:eastAsia="Times New Roman" w:hAnsi="Arial" w:cs="Arial"/>
                <w:i/>
              </w:rPr>
            </w:pPr>
          </w:p>
          <w:p w14:paraId="65CB70D0" w14:textId="77777777" w:rsidR="00540F00" w:rsidRDefault="00540F00">
            <w:pPr>
              <w:rPr>
                <w:rFonts w:ascii="Arial" w:eastAsia="Times New Roman" w:hAnsi="Arial" w:cs="Arial"/>
                <w:i/>
              </w:rPr>
            </w:pPr>
          </w:p>
          <w:p w14:paraId="48B3D120" w14:textId="77777777" w:rsidR="00540F00" w:rsidRDefault="00540F00">
            <w:pPr>
              <w:rPr>
                <w:rFonts w:ascii="Arial" w:eastAsia="Times New Roman" w:hAnsi="Arial" w:cs="Arial"/>
                <w:i/>
              </w:rPr>
            </w:pPr>
          </w:p>
          <w:p w14:paraId="356A923D" w14:textId="77777777" w:rsidR="00540F00" w:rsidRDefault="00540F00">
            <w:pPr>
              <w:rPr>
                <w:rFonts w:ascii="Arial" w:eastAsia="Times New Roman" w:hAnsi="Arial" w:cs="Arial"/>
                <w:i/>
              </w:rPr>
            </w:pPr>
          </w:p>
          <w:p w14:paraId="5479114A" w14:textId="77777777" w:rsidR="00540F00" w:rsidRDefault="00540F00">
            <w:pPr>
              <w:rPr>
                <w:rFonts w:ascii="Arial" w:eastAsia="Times New Roman" w:hAnsi="Arial" w:cs="Arial"/>
                <w:i/>
              </w:rPr>
            </w:pPr>
          </w:p>
          <w:p w14:paraId="439929A3" w14:textId="77777777" w:rsidR="00540F00" w:rsidRDefault="00540F00">
            <w:pPr>
              <w:rPr>
                <w:rFonts w:ascii="Arial" w:eastAsia="Times New Roman" w:hAnsi="Arial" w:cs="Arial"/>
                <w:i/>
              </w:rPr>
            </w:pPr>
          </w:p>
          <w:p w14:paraId="65DF1F50" w14:textId="77777777" w:rsidR="00540F00" w:rsidRDefault="00540F00">
            <w:pPr>
              <w:rPr>
                <w:rFonts w:ascii="Arial" w:eastAsia="Times New Roman" w:hAnsi="Arial" w:cs="Arial"/>
                <w:i/>
              </w:rPr>
            </w:pPr>
          </w:p>
          <w:p w14:paraId="109CECE9" w14:textId="77777777" w:rsidR="00540F00" w:rsidRDefault="00540F00">
            <w:pPr>
              <w:rPr>
                <w:rFonts w:ascii="Arial" w:eastAsia="Times New Roman" w:hAnsi="Arial" w:cs="Arial"/>
                <w:i/>
              </w:rPr>
            </w:pPr>
          </w:p>
          <w:p w14:paraId="0817B3DB" w14:textId="77777777" w:rsidR="00540F00" w:rsidRDefault="00540F00">
            <w:pPr>
              <w:rPr>
                <w:rFonts w:ascii="Arial" w:eastAsia="Times New Roman" w:hAnsi="Arial" w:cs="Arial"/>
                <w:i/>
              </w:rPr>
            </w:pPr>
          </w:p>
          <w:p w14:paraId="3BC13CBE" w14:textId="77777777" w:rsidR="00540F00" w:rsidRDefault="00540F00">
            <w:pPr>
              <w:rPr>
                <w:rFonts w:ascii="Arial" w:eastAsia="Times New Roman" w:hAnsi="Arial" w:cs="Arial"/>
              </w:rPr>
            </w:pPr>
            <w:r>
              <w:rPr>
                <w:rFonts w:ascii="Arial" w:eastAsia="Times New Roman" w:hAnsi="Arial" w:cs="Arial"/>
                <w:i/>
              </w:rPr>
              <w:t xml:space="preserve">Utilization management manuals and any other documentation of UM processes that are relied upon to </w:t>
            </w:r>
            <w:proofErr w:type="gramStart"/>
            <w:r>
              <w:rPr>
                <w:rFonts w:ascii="Arial" w:eastAsia="Times New Roman" w:hAnsi="Arial" w:cs="Arial"/>
                <w:i/>
              </w:rPr>
              <w:t>make a determination</w:t>
            </w:r>
            <w:proofErr w:type="gramEnd"/>
            <w:r>
              <w:rPr>
                <w:rFonts w:ascii="Arial" w:eastAsia="Times New Roman" w:hAnsi="Arial" w:cs="Arial"/>
              </w:rPr>
              <w:t>:</w:t>
            </w:r>
          </w:p>
          <w:p w14:paraId="7F442873" w14:textId="77777777" w:rsidR="00540F00" w:rsidRDefault="00540F00" w:rsidP="00540F00">
            <w:pPr>
              <w:pStyle w:val="ListParagraph"/>
              <w:numPr>
                <w:ilvl w:val="0"/>
                <w:numId w:val="56"/>
              </w:numPr>
              <w:spacing w:after="0" w:line="240" w:lineRule="auto"/>
              <w:rPr>
                <w:rFonts w:ascii="Arial" w:eastAsia="Times New Roman" w:hAnsi="Arial" w:cs="Arial"/>
              </w:rPr>
            </w:pPr>
            <w:r>
              <w:rPr>
                <w:rFonts w:ascii="Arial" w:eastAsia="Times New Roman" w:hAnsi="Arial" w:cs="Arial"/>
              </w:rPr>
              <w:t>Same as M/S</w:t>
            </w:r>
          </w:p>
          <w:p w14:paraId="74D0C567" w14:textId="77777777" w:rsidR="00540F00" w:rsidRDefault="00540F00">
            <w:pPr>
              <w:rPr>
                <w:rFonts w:ascii="Arial" w:eastAsia="Times New Roman" w:hAnsi="Arial" w:cs="Arial"/>
              </w:rPr>
            </w:pPr>
          </w:p>
          <w:p w14:paraId="0831E38D" w14:textId="77777777" w:rsidR="00540F00" w:rsidRDefault="00540F00">
            <w:pPr>
              <w:rPr>
                <w:rFonts w:ascii="Arial" w:eastAsia="Times New Roman" w:hAnsi="Arial" w:cs="Arial"/>
              </w:rPr>
            </w:pPr>
          </w:p>
          <w:p w14:paraId="7CF357AF" w14:textId="77777777" w:rsidR="00540F00" w:rsidRDefault="00540F00">
            <w:pPr>
              <w:rPr>
                <w:rFonts w:ascii="Arial" w:eastAsia="Times New Roman" w:hAnsi="Arial" w:cs="Arial"/>
              </w:rPr>
            </w:pPr>
          </w:p>
          <w:p w14:paraId="1E77CF02" w14:textId="77777777" w:rsidR="00540F00" w:rsidRDefault="00540F00">
            <w:pPr>
              <w:rPr>
                <w:rFonts w:ascii="Arial" w:eastAsia="Times New Roman" w:hAnsi="Arial" w:cs="Arial"/>
                <w:i/>
                <w:iCs/>
              </w:rPr>
            </w:pPr>
          </w:p>
          <w:p w14:paraId="754D5212" w14:textId="77777777" w:rsidR="00540F00" w:rsidRDefault="00540F00">
            <w:pPr>
              <w:rPr>
                <w:rFonts w:ascii="Arial" w:eastAsia="Times New Roman" w:hAnsi="Arial" w:cs="Arial"/>
                <w:i/>
                <w:iCs/>
              </w:rPr>
            </w:pPr>
          </w:p>
          <w:p w14:paraId="32526E48" w14:textId="77777777" w:rsidR="00540F00" w:rsidRDefault="00540F00">
            <w:pPr>
              <w:rPr>
                <w:rFonts w:ascii="Arial" w:eastAsia="Times New Roman" w:hAnsi="Arial" w:cs="Arial"/>
                <w:i/>
                <w:iCs/>
              </w:rPr>
            </w:pPr>
          </w:p>
          <w:p w14:paraId="1F5D8FCF" w14:textId="77777777" w:rsidR="00540F00" w:rsidRDefault="00540F00">
            <w:pPr>
              <w:rPr>
                <w:rFonts w:ascii="Arial" w:eastAsia="Times New Roman" w:hAnsi="Arial" w:cs="Arial"/>
                <w:i/>
                <w:iCs/>
              </w:rPr>
            </w:pPr>
          </w:p>
          <w:p w14:paraId="6362AEE5" w14:textId="77777777" w:rsidR="00540F00" w:rsidRDefault="00540F00">
            <w:pPr>
              <w:rPr>
                <w:rFonts w:ascii="Arial" w:eastAsia="Times New Roman" w:hAnsi="Arial" w:cs="Arial"/>
                <w:i/>
                <w:iCs/>
              </w:rPr>
            </w:pPr>
          </w:p>
          <w:p w14:paraId="5BDC77F5" w14:textId="77777777" w:rsidR="00540F00" w:rsidRDefault="00540F00">
            <w:pPr>
              <w:rPr>
                <w:rFonts w:ascii="Arial" w:eastAsia="Times New Roman" w:hAnsi="Arial" w:cs="Arial"/>
                <w:i/>
                <w:iCs/>
              </w:rPr>
            </w:pPr>
          </w:p>
          <w:p w14:paraId="33F2DA01" w14:textId="77777777" w:rsidR="00540F00" w:rsidRDefault="00540F00">
            <w:pPr>
              <w:rPr>
                <w:rFonts w:ascii="Arial" w:eastAsia="Times New Roman" w:hAnsi="Arial" w:cs="Arial"/>
                <w:i/>
                <w:iCs/>
              </w:rPr>
            </w:pPr>
          </w:p>
          <w:p w14:paraId="06A236B4" w14:textId="77777777" w:rsidR="00540F00" w:rsidRDefault="00540F00">
            <w:pPr>
              <w:rPr>
                <w:rFonts w:ascii="Arial" w:eastAsia="Times New Roman" w:hAnsi="Arial" w:cs="Arial"/>
                <w:i/>
                <w:iCs/>
              </w:rPr>
            </w:pPr>
          </w:p>
          <w:p w14:paraId="18193ECE" w14:textId="77777777" w:rsidR="00540F00" w:rsidRDefault="00540F00">
            <w:pPr>
              <w:rPr>
                <w:rFonts w:ascii="Arial" w:eastAsia="Times New Roman" w:hAnsi="Arial" w:cs="Arial"/>
                <w:i/>
                <w:iCs/>
              </w:rPr>
            </w:pPr>
          </w:p>
          <w:p w14:paraId="1B8B2D25" w14:textId="77777777" w:rsidR="00540F00" w:rsidRDefault="00540F00">
            <w:pPr>
              <w:rPr>
                <w:rFonts w:ascii="Arial" w:eastAsia="Times New Roman" w:hAnsi="Arial" w:cs="Arial"/>
                <w:i/>
                <w:iCs/>
              </w:rPr>
            </w:pPr>
          </w:p>
          <w:p w14:paraId="454FA2C8" w14:textId="77777777" w:rsidR="00540F00" w:rsidRDefault="00540F00">
            <w:pPr>
              <w:rPr>
                <w:rFonts w:ascii="Arial" w:eastAsia="Times New Roman" w:hAnsi="Arial" w:cs="Arial"/>
                <w:i/>
                <w:iCs/>
              </w:rPr>
            </w:pPr>
          </w:p>
          <w:p w14:paraId="1B24B14B" w14:textId="77777777" w:rsidR="00540F00" w:rsidRDefault="00540F00">
            <w:pPr>
              <w:rPr>
                <w:rFonts w:ascii="Arial" w:eastAsia="Times New Roman" w:hAnsi="Arial" w:cs="Arial"/>
                <w:i/>
                <w:iCs/>
              </w:rPr>
            </w:pPr>
          </w:p>
          <w:p w14:paraId="69B24D88" w14:textId="77777777" w:rsidR="00540F00" w:rsidRDefault="00540F00">
            <w:pPr>
              <w:rPr>
                <w:rFonts w:ascii="Arial" w:eastAsia="Times New Roman" w:hAnsi="Arial" w:cs="Arial"/>
                <w:i/>
                <w:iCs/>
              </w:rPr>
            </w:pPr>
          </w:p>
          <w:p w14:paraId="78553897" w14:textId="77777777" w:rsidR="00540F00" w:rsidRDefault="00540F00">
            <w:pPr>
              <w:rPr>
                <w:rFonts w:ascii="Arial" w:eastAsia="Times New Roman" w:hAnsi="Arial" w:cs="Arial"/>
                <w:i/>
                <w:iCs/>
              </w:rPr>
            </w:pPr>
          </w:p>
          <w:p w14:paraId="7868DF0E" w14:textId="77777777" w:rsidR="00540F00" w:rsidRDefault="00540F00">
            <w:pPr>
              <w:rPr>
                <w:rFonts w:ascii="Arial" w:eastAsia="Times New Roman" w:hAnsi="Arial" w:cs="Arial"/>
                <w:i/>
                <w:iCs/>
              </w:rPr>
            </w:pPr>
          </w:p>
          <w:p w14:paraId="6A4212FF" w14:textId="77777777" w:rsidR="00540F00" w:rsidRDefault="00540F00">
            <w:pPr>
              <w:rPr>
                <w:rFonts w:ascii="Arial" w:eastAsia="Times New Roman" w:hAnsi="Arial" w:cs="Arial"/>
                <w:i/>
                <w:iCs/>
              </w:rPr>
            </w:pPr>
          </w:p>
          <w:p w14:paraId="03DFA4AC" w14:textId="77777777" w:rsidR="00540F00" w:rsidRDefault="00540F00">
            <w:pPr>
              <w:rPr>
                <w:rFonts w:ascii="Arial" w:eastAsia="Times New Roman" w:hAnsi="Arial" w:cs="Arial"/>
                <w:i/>
                <w:iCs/>
              </w:rPr>
            </w:pPr>
          </w:p>
          <w:p w14:paraId="35BCFA68" w14:textId="77777777" w:rsidR="00540F00" w:rsidRDefault="00540F00">
            <w:pPr>
              <w:rPr>
                <w:rFonts w:ascii="Arial" w:eastAsia="Times New Roman" w:hAnsi="Arial" w:cs="Arial"/>
                <w:i/>
                <w:iCs/>
              </w:rPr>
            </w:pPr>
          </w:p>
          <w:p w14:paraId="2DDF29CB" w14:textId="77777777" w:rsidR="00540F00" w:rsidRDefault="00540F00">
            <w:pPr>
              <w:rPr>
                <w:rFonts w:ascii="Arial" w:eastAsia="Times New Roman" w:hAnsi="Arial" w:cs="Arial"/>
                <w:i/>
                <w:iCs/>
              </w:rPr>
            </w:pPr>
          </w:p>
          <w:p w14:paraId="180F1B3B" w14:textId="77777777" w:rsidR="00540F00" w:rsidRDefault="00540F00">
            <w:pPr>
              <w:rPr>
                <w:rFonts w:ascii="Arial" w:eastAsia="Times New Roman" w:hAnsi="Arial" w:cs="Arial"/>
                <w:i/>
                <w:iCs/>
              </w:rPr>
            </w:pPr>
            <w:r>
              <w:rPr>
                <w:rFonts w:ascii="Arial" w:eastAsia="Times New Roman" w:hAnsi="Arial" w:cs="Arial"/>
                <w:i/>
                <w:iCs/>
              </w:rPr>
              <w:t xml:space="preserve">Relevant </w:t>
            </w:r>
            <w:proofErr w:type="gramStart"/>
            <w:r>
              <w:rPr>
                <w:rFonts w:ascii="Arial" w:eastAsia="Times New Roman" w:hAnsi="Arial" w:cs="Arial"/>
                <w:i/>
                <w:iCs/>
              </w:rPr>
              <w:t>Decision Making</w:t>
            </w:r>
            <w:proofErr w:type="gramEnd"/>
            <w:r>
              <w:rPr>
                <w:rFonts w:ascii="Arial" w:eastAsia="Times New Roman" w:hAnsi="Arial" w:cs="Arial"/>
                <w:i/>
                <w:iCs/>
              </w:rPr>
              <w:t xml:space="preserve"> Committees </w:t>
            </w:r>
          </w:p>
          <w:p w14:paraId="1694532B" w14:textId="77777777" w:rsidR="00540F00" w:rsidRDefault="00540F00" w:rsidP="00540F00">
            <w:pPr>
              <w:pStyle w:val="ListParagraph"/>
              <w:numPr>
                <w:ilvl w:val="0"/>
                <w:numId w:val="56"/>
              </w:numPr>
              <w:spacing w:after="0" w:line="240" w:lineRule="auto"/>
              <w:rPr>
                <w:rFonts w:ascii="Arial" w:eastAsia="Times New Roman" w:hAnsi="Arial" w:cs="Arial"/>
              </w:rPr>
            </w:pPr>
            <w:r>
              <w:rPr>
                <w:rFonts w:ascii="Arial" w:eastAsia="Times New Roman" w:hAnsi="Arial" w:cs="Arial"/>
              </w:rPr>
              <w:t xml:space="preserve">Same as M/S </w:t>
            </w:r>
          </w:p>
          <w:p w14:paraId="53475CF4" w14:textId="77777777" w:rsidR="00540F00" w:rsidRDefault="00540F00">
            <w:pPr>
              <w:rPr>
                <w:rFonts w:ascii="Arial" w:eastAsia="Times New Roman" w:hAnsi="Arial" w:cs="Arial"/>
              </w:rPr>
            </w:pPr>
          </w:p>
          <w:p w14:paraId="73C5EFA7" w14:textId="77777777" w:rsidR="00540F00" w:rsidRDefault="00540F00">
            <w:pPr>
              <w:rPr>
                <w:rFonts w:ascii="Arial" w:eastAsia="Times New Roman" w:hAnsi="Arial" w:cs="Arial"/>
                <w:i/>
              </w:rPr>
            </w:pPr>
          </w:p>
          <w:p w14:paraId="0B87D2E8" w14:textId="77777777" w:rsidR="00540F00" w:rsidRDefault="00540F00">
            <w:pPr>
              <w:rPr>
                <w:rFonts w:ascii="Arial" w:eastAsia="Times New Roman" w:hAnsi="Arial" w:cs="Arial"/>
                <w:i/>
              </w:rPr>
            </w:pPr>
          </w:p>
          <w:p w14:paraId="74B2BDDC" w14:textId="77777777" w:rsidR="00540F00" w:rsidRDefault="00540F00">
            <w:pPr>
              <w:rPr>
                <w:rFonts w:ascii="Arial" w:eastAsia="Times New Roman" w:hAnsi="Arial" w:cs="Arial"/>
                <w:i/>
              </w:rPr>
            </w:pPr>
          </w:p>
          <w:p w14:paraId="082A87E1" w14:textId="77777777" w:rsidR="00540F00" w:rsidRDefault="00540F00">
            <w:pPr>
              <w:rPr>
                <w:rFonts w:ascii="Arial" w:eastAsia="Times New Roman" w:hAnsi="Arial" w:cs="Arial"/>
                <w:i/>
              </w:rPr>
            </w:pPr>
          </w:p>
          <w:p w14:paraId="62AB6607" w14:textId="77777777" w:rsidR="00540F00" w:rsidRDefault="00540F00">
            <w:pPr>
              <w:rPr>
                <w:rFonts w:ascii="Arial" w:eastAsia="Times New Roman" w:hAnsi="Arial" w:cs="Arial"/>
                <w:i/>
              </w:rPr>
            </w:pPr>
          </w:p>
          <w:p w14:paraId="64760996" w14:textId="77777777" w:rsidR="00540F00" w:rsidRDefault="00540F00">
            <w:pPr>
              <w:rPr>
                <w:rFonts w:ascii="Arial" w:eastAsia="Times New Roman" w:hAnsi="Arial" w:cs="Arial"/>
                <w:i/>
              </w:rPr>
            </w:pPr>
          </w:p>
          <w:p w14:paraId="1F5AA0AD" w14:textId="77777777" w:rsidR="00540F00" w:rsidRDefault="00540F00">
            <w:pPr>
              <w:rPr>
                <w:rFonts w:ascii="Arial" w:eastAsia="Times New Roman" w:hAnsi="Arial" w:cs="Arial"/>
                <w:i/>
              </w:rPr>
            </w:pPr>
          </w:p>
          <w:p w14:paraId="72D2D6E0" w14:textId="77777777" w:rsidR="00540F00" w:rsidRDefault="00540F00">
            <w:pPr>
              <w:rPr>
                <w:rFonts w:ascii="Arial" w:eastAsia="Times New Roman" w:hAnsi="Arial" w:cs="Arial"/>
                <w:i/>
              </w:rPr>
            </w:pPr>
          </w:p>
          <w:p w14:paraId="1D8A3AE6" w14:textId="77777777" w:rsidR="00540F00" w:rsidRDefault="00540F00">
            <w:pPr>
              <w:rPr>
                <w:rFonts w:ascii="Arial" w:eastAsia="Times New Roman" w:hAnsi="Arial" w:cs="Arial"/>
                <w:i/>
              </w:rPr>
            </w:pPr>
          </w:p>
          <w:p w14:paraId="5B025634" w14:textId="77777777" w:rsidR="00540F00" w:rsidRDefault="00540F00">
            <w:pPr>
              <w:rPr>
                <w:rFonts w:ascii="Arial" w:eastAsia="Times New Roman" w:hAnsi="Arial" w:cs="Arial"/>
                <w:i/>
              </w:rPr>
            </w:pPr>
          </w:p>
          <w:p w14:paraId="03B20221" w14:textId="77777777" w:rsidR="00540F00" w:rsidRDefault="00540F00">
            <w:pPr>
              <w:rPr>
                <w:rFonts w:ascii="Arial" w:eastAsia="Times New Roman" w:hAnsi="Arial" w:cs="Arial"/>
                <w:i/>
              </w:rPr>
            </w:pPr>
          </w:p>
          <w:p w14:paraId="5F085B6B" w14:textId="77777777" w:rsidR="00540F00" w:rsidRDefault="00540F00">
            <w:pPr>
              <w:rPr>
                <w:rFonts w:ascii="Arial" w:eastAsia="Times New Roman" w:hAnsi="Arial" w:cs="Arial"/>
                <w:i/>
              </w:rPr>
            </w:pPr>
          </w:p>
          <w:p w14:paraId="5EA7F0E2" w14:textId="77777777" w:rsidR="00540F00" w:rsidRDefault="00540F00">
            <w:pPr>
              <w:rPr>
                <w:rFonts w:ascii="Arial" w:eastAsia="Times New Roman" w:hAnsi="Arial" w:cs="Arial"/>
                <w:i/>
              </w:rPr>
            </w:pPr>
          </w:p>
          <w:p w14:paraId="6BD10636" w14:textId="77777777" w:rsidR="00540F00" w:rsidRDefault="00540F00">
            <w:pPr>
              <w:rPr>
                <w:rFonts w:ascii="Arial" w:eastAsia="Times New Roman" w:hAnsi="Arial" w:cs="Arial"/>
                <w:i/>
              </w:rPr>
            </w:pPr>
          </w:p>
          <w:p w14:paraId="4CE825F9" w14:textId="77777777" w:rsidR="00540F00" w:rsidRDefault="00540F00">
            <w:pPr>
              <w:rPr>
                <w:rFonts w:ascii="Arial" w:eastAsia="Times New Roman" w:hAnsi="Arial" w:cs="Arial"/>
                <w:i/>
              </w:rPr>
            </w:pPr>
          </w:p>
          <w:p w14:paraId="0105B214" w14:textId="77777777" w:rsidR="00540F00" w:rsidRDefault="00540F00">
            <w:pPr>
              <w:rPr>
                <w:rFonts w:ascii="Arial" w:eastAsia="Times New Roman" w:hAnsi="Arial" w:cs="Arial"/>
                <w:i/>
              </w:rPr>
            </w:pPr>
          </w:p>
          <w:p w14:paraId="528D5CF7" w14:textId="77777777" w:rsidR="00540F00" w:rsidRDefault="00540F00">
            <w:pPr>
              <w:rPr>
                <w:rFonts w:ascii="Arial" w:eastAsia="Times New Roman" w:hAnsi="Arial" w:cs="Arial"/>
                <w:i/>
              </w:rPr>
            </w:pPr>
          </w:p>
          <w:p w14:paraId="14345650" w14:textId="77777777" w:rsidR="00540F00" w:rsidRDefault="00540F00">
            <w:pPr>
              <w:rPr>
                <w:rFonts w:ascii="Arial" w:eastAsia="Times New Roman" w:hAnsi="Arial" w:cs="Arial"/>
                <w:i/>
              </w:rPr>
            </w:pPr>
          </w:p>
          <w:p w14:paraId="36DFED31" w14:textId="77777777" w:rsidR="00540F00" w:rsidRDefault="00540F00">
            <w:pPr>
              <w:rPr>
                <w:rFonts w:ascii="Arial" w:eastAsia="Times New Roman" w:hAnsi="Arial" w:cs="Arial"/>
                <w:i/>
              </w:rPr>
            </w:pPr>
          </w:p>
          <w:p w14:paraId="25DB2721" w14:textId="77777777" w:rsidR="00540F00" w:rsidRDefault="00540F00">
            <w:pPr>
              <w:rPr>
                <w:rFonts w:ascii="Arial" w:eastAsia="Times New Roman" w:hAnsi="Arial" w:cs="Arial"/>
                <w:i/>
              </w:rPr>
            </w:pPr>
          </w:p>
          <w:p w14:paraId="301E11A8" w14:textId="77777777" w:rsidR="00540F00" w:rsidRDefault="00540F00">
            <w:pPr>
              <w:rPr>
                <w:rFonts w:ascii="Arial" w:eastAsia="Times New Roman" w:hAnsi="Arial" w:cs="Arial"/>
                <w:i/>
              </w:rPr>
            </w:pPr>
          </w:p>
          <w:p w14:paraId="46558052" w14:textId="77777777" w:rsidR="00540F00" w:rsidRDefault="00540F00">
            <w:pPr>
              <w:rPr>
                <w:rFonts w:ascii="Arial" w:eastAsia="Times New Roman" w:hAnsi="Arial" w:cs="Arial"/>
                <w:i/>
              </w:rPr>
            </w:pPr>
          </w:p>
          <w:p w14:paraId="479B3822" w14:textId="77777777" w:rsidR="00540F00" w:rsidRDefault="00540F00">
            <w:pPr>
              <w:rPr>
                <w:rFonts w:ascii="Arial" w:eastAsia="Times New Roman" w:hAnsi="Arial" w:cs="Arial"/>
              </w:rPr>
            </w:pPr>
            <w:r>
              <w:rPr>
                <w:rFonts w:ascii="Arial" w:eastAsia="Times New Roman" w:hAnsi="Arial" w:cs="Arial"/>
                <w:i/>
              </w:rPr>
              <w:t>Minimum qualifications for reviewers</w:t>
            </w:r>
            <w:r>
              <w:rPr>
                <w:rFonts w:ascii="Arial" w:eastAsia="Times New Roman" w:hAnsi="Arial" w:cs="Arial"/>
              </w:rPr>
              <w:t>:</w:t>
            </w:r>
          </w:p>
          <w:p w14:paraId="28C54732" w14:textId="77777777" w:rsidR="00540F00" w:rsidRDefault="00540F00" w:rsidP="00540F00">
            <w:pPr>
              <w:pStyle w:val="ListParagraph"/>
              <w:numPr>
                <w:ilvl w:val="0"/>
                <w:numId w:val="56"/>
              </w:numPr>
              <w:spacing w:after="0" w:line="240" w:lineRule="auto"/>
              <w:rPr>
                <w:rFonts w:ascii="Arial" w:eastAsia="Times New Roman" w:hAnsi="Arial" w:cs="Arial"/>
              </w:rPr>
            </w:pPr>
            <w:r>
              <w:rPr>
                <w:rFonts w:ascii="Arial" w:eastAsia="Times New Roman" w:hAnsi="Arial" w:cs="Arial"/>
              </w:rPr>
              <w:t>Same as M/S</w:t>
            </w:r>
          </w:p>
          <w:p w14:paraId="334910A6" w14:textId="77777777" w:rsidR="00540F00" w:rsidRDefault="00540F00">
            <w:pPr>
              <w:rPr>
                <w:rFonts w:ascii="Arial" w:eastAsia="Times New Roman" w:hAnsi="Arial" w:cs="Arial"/>
              </w:rPr>
            </w:pPr>
          </w:p>
          <w:p w14:paraId="15106EB9" w14:textId="77777777" w:rsidR="00540F00" w:rsidRDefault="00540F00">
            <w:pPr>
              <w:rPr>
                <w:rFonts w:ascii="Arial" w:eastAsia="Times New Roman" w:hAnsi="Arial" w:cs="Arial"/>
              </w:rPr>
            </w:pPr>
          </w:p>
          <w:p w14:paraId="32746E73" w14:textId="77777777" w:rsidR="00540F00" w:rsidRDefault="00540F00">
            <w:pPr>
              <w:rPr>
                <w:rFonts w:ascii="Arial" w:eastAsia="Times New Roman" w:hAnsi="Arial" w:cs="Arial"/>
                <w:i/>
              </w:rPr>
            </w:pPr>
          </w:p>
          <w:p w14:paraId="37BDF0F1" w14:textId="77777777" w:rsidR="00540F00" w:rsidRDefault="00540F00">
            <w:pPr>
              <w:rPr>
                <w:rFonts w:ascii="Arial" w:eastAsia="Times New Roman" w:hAnsi="Arial" w:cs="Arial"/>
                <w:i/>
              </w:rPr>
            </w:pPr>
          </w:p>
          <w:p w14:paraId="0CD12C1D" w14:textId="77777777" w:rsidR="00540F00" w:rsidRDefault="00540F00">
            <w:pPr>
              <w:rPr>
                <w:rFonts w:ascii="Arial" w:eastAsia="Times New Roman" w:hAnsi="Arial" w:cs="Arial"/>
                <w:i/>
              </w:rPr>
            </w:pPr>
          </w:p>
          <w:p w14:paraId="4F9610DA" w14:textId="77777777" w:rsidR="00540F00" w:rsidRDefault="00540F00">
            <w:pPr>
              <w:rPr>
                <w:rFonts w:ascii="Arial" w:eastAsia="Times New Roman" w:hAnsi="Arial" w:cs="Arial"/>
                <w:i/>
              </w:rPr>
            </w:pPr>
          </w:p>
          <w:p w14:paraId="4B115D80" w14:textId="77777777" w:rsidR="00540F00" w:rsidRDefault="00540F00">
            <w:pPr>
              <w:rPr>
                <w:rFonts w:ascii="Arial" w:eastAsia="Times New Roman" w:hAnsi="Arial" w:cs="Arial"/>
                <w:i/>
              </w:rPr>
            </w:pPr>
          </w:p>
          <w:p w14:paraId="743CDD53" w14:textId="77777777" w:rsidR="00540F00" w:rsidRDefault="00540F00">
            <w:pPr>
              <w:rPr>
                <w:rFonts w:ascii="Arial" w:eastAsia="Times New Roman" w:hAnsi="Arial" w:cs="Arial"/>
                <w:i/>
              </w:rPr>
            </w:pPr>
          </w:p>
          <w:p w14:paraId="5E03B395" w14:textId="77777777" w:rsidR="00540F00" w:rsidRDefault="00540F00">
            <w:pPr>
              <w:rPr>
                <w:rFonts w:ascii="Arial" w:eastAsia="Times New Roman" w:hAnsi="Arial" w:cs="Arial"/>
                <w:i/>
              </w:rPr>
            </w:pPr>
          </w:p>
          <w:p w14:paraId="08399C3B" w14:textId="77777777" w:rsidR="00540F00" w:rsidRDefault="00540F00">
            <w:pPr>
              <w:rPr>
                <w:rFonts w:ascii="Arial" w:eastAsia="Times New Roman" w:hAnsi="Arial" w:cs="Arial"/>
                <w:i/>
              </w:rPr>
            </w:pPr>
          </w:p>
          <w:p w14:paraId="4F0D53D6" w14:textId="77777777" w:rsidR="00540F00" w:rsidRDefault="00540F00">
            <w:pPr>
              <w:rPr>
                <w:rFonts w:ascii="Arial" w:eastAsia="Times New Roman" w:hAnsi="Arial" w:cs="Arial"/>
                <w:i/>
              </w:rPr>
            </w:pPr>
          </w:p>
          <w:p w14:paraId="4D562A7C" w14:textId="77777777" w:rsidR="00540F00" w:rsidRDefault="00540F00">
            <w:pPr>
              <w:rPr>
                <w:rFonts w:ascii="Arial" w:eastAsia="Times New Roman" w:hAnsi="Arial" w:cs="Arial"/>
                <w:i/>
              </w:rPr>
            </w:pPr>
          </w:p>
          <w:p w14:paraId="7DA8A68B" w14:textId="77777777" w:rsidR="00540F00" w:rsidRDefault="00540F00">
            <w:pPr>
              <w:rPr>
                <w:rFonts w:ascii="Arial" w:eastAsia="Times New Roman" w:hAnsi="Arial" w:cs="Arial"/>
              </w:rPr>
            </w:pPr>
            <w:r>
              <w:rPr>
                <w:rFonts w:ascii="Arial" w:eastAsia="Times New Roman" w:hAnsi="Arial" w:cs="Arial"/>
                <w:i/>
              </w:rPr>
              <w:t>Minimum standards to issue a denial (e.g. sign-off from a physician with relevant board certification)</w:t>
            </w:r>
            <w:r>
              <w:rPr>
                <w:rFonts w:ascii="Arial" w:eastAsia="Times New Roman" w:hAnsi="Arial" w:cs="Arial"/>
              </w:rPr>
              <w:t>:</w:t>
            </w:r>
          </w:p>
          <w:p w14:paraId="4A0A17FC" w14:textId="77777777" w:rsidR="00540F00" w:rsidRDefault="00540F00" w:rsidP="00540F00">
            <w:pPr>
              <w:pStyle w:val="ListParagraph"/>
              <w:numPr>
                <w:ilvl w:val="0"/>
                <w:numId w:val="56"/>
              </w:numPr>
              <w:spacing w:after="0" w:line="240" w:lineRule="auto"/>
              <w:rPr>
                <w:rFonts w:ascii="Arial" w:eastAsia="Times New Roman" w:hAnsi="Arial" w:cs="Arial"/>
              </w:rPr>
            </w:pPr>
            <w:r>
              <w:rPr>
                <w:rFonts w:ascii="Arial" w:eastAsia="Times New Roman" w:hAnsi="Arial" w:cs="Arial"/>
              </w:rPr>
              <w:t>Same as M/S</w:t>
            </w:r>
          </w:p>
        </w:tc>
      </w:tr>
      <w:tr w:rsidR="00540F00" w14:paraId="5963F41A" w14:textId="77777777" w:rsidTr="00540F00">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9FCC0D" w14:textId="77777777" w:rsidR="00540F00" w:rsidRDefault="00540F00">
            <w:pPr>
              <w:rPr>
                <w:rFonts w:ascii="Arial" w:eastAsia="Times New Roman" w:hAnsi="Arial" w:cs="Arial"/>
              </w:rPr>
            </w:pPr>
            <w:r>
              <w:rPr>
                <w:rFonts w:ascii="Arial" w:eastAsia="Times New Roman" w:hAnsi="Arial" w:cs="Arial"/>
                <w:b/>
                <w:i/>
              </w:rPr>
              <w:t>Step 4(b): Identify and define the factors and processes that are used to monitor and evaluate the application of Prior Authorization for M/S benefits</w:t>
            </w:r>
            <w:r>
              <w:rPr>
                <w:rFonts w:ascii="Arial" w:eastAsia="Times New Roman" w:hAnsi="Arial" w:cs="Arial"/>
              </w:rPr>
              <w:t>:</w:t>
            </w:r>
          </w:p>
        </w:tc>
      </w:tr>
      <w:tr w:rsidR="00540F00" w14:paraId="25956E8F" w14:textId="77777777" w:rsidTr="00540F00">
        <w:trPr>
          <w:trHeight w:val="2420"/>
        </w:trPr>
        <w:tc>
          <w:tcPr>
            <w:tcW w:w="2500" w:type="pct"/>
            <w:tcBorders>
              <w:top w:val="single" w:sz="4" w:space="0" w:color="auto"/>
              <w:left w:val="single" w:sz="4" w:space="0" w:color="auto"/>
              <w:bottom w:val="single" w:sz="4" w:space="0" w:color="auto"/>
              <w:right w:val="single" w:sz="4" w:space="0" w:color="auto"/>
            </w:tcBorders>
          </w:tcPr>
          <w:p w14:paraId="6A986874" w14:textId="77777777" w:rsidR="00540F00" w:rsidRDefault="00540F00">
            <w:pPr>
              <w:pStyle w:val="BodyText"/>
              <w:spacing w:before="223" w:line="264" w:lineRule="auto"/>
              <w:rPr>
                <w:rFonts w:ascii="Arial" w:eastAsiaTheme="minorHAnsi" w:hAnsi="Arial" w:cs="Arial"/>
                <w:sz w:val="22"/>
                <w:szCs w:val="22"/>
              </w:rPr>
            </w:pPr>
            <w:r>
              <w:rPr>
                <w:rFonts w:ascii="Arial" w:hAnsi="Arial" w:cs="Arial"/>
                <w:sz w:val="22"/>
                <w:szCs w:val="22"/>
              </w:rPr>
              <w:t xml:space="preserve">To ensure that the processes, strategies, evidentiary standards, and other factors used to apply prior authorization to MH/SUD drugs, in operation, are comparable to, and are applied no more stringently than, the processes, strategies, evidentiary standards, and other factors used to apply prior authorization to M/S drugs, prior authorization (PA) for prescription drugs is analyzed semi-annually. One analysis we completed was a review of the percentage of drugs in the M/S and MH/SUD classifications that are subject to prior authorization. See table below for M/S results. </w:t>
            </w:r>
          </w:p>
          <w:p w14:paraId="73EC1044" w14:textId="77777777" w:rsidR="00540F00" w:rsidRDefault="00540F00">
            <w:pPr>
              <w:rPr>
                <w:rFonts w:ascii="Arial" w:eastAsia="Times New Roman" w:hAnsi="Arial" w:cs="Arial"/>
              </w:rPr>
            </w:pPr>
          </w:p>
          <w:tbl>
            <w:tblPr>
              <w:tblStyle w:val="TableGrid"/>
              <w:tblW w:w="0" w:type="auto"/>
              <w:tblLook w:val="04A0" w:firstRow="1" w:lastRow="0" w:firstColumn="1" w:lastColumn="0" w:noHBand="0" w:noVBand="1"/>
            </w:tblPr>
            <w:tblGrid>
              <w:gridCol w:w="2622"/>
              <w:gridCol w:w="2368"/>
            </w:tblGrid>
            <w:tr w:rsidR="00540F00" w14:paraId="1D74D22B" w14:textId="77777777">
              <w:trPr>
                <w:trHeight w:val="741"/>
              </w:trPr>
              <w:tc>
                <w:tcPr>
                  <w:tcW w:w="9250" w:type="dxa"/>
                  <w:gridSpan w:val="2"/>
                  <w:tcBorders>
                    <w:top w:val="single" w:sz="4" w:space="0" w:color="auto"/>
                    <w:left w:val="single" w:sz="4" w:space="0" w:color="auto"/>
                    <w:bottom w:val="single" w:sz="4" w:space="0" w:color="auto"/>
                    <w:right w:val="single" w:sz="4" w:space="0" w:color="auto"/>
                  </w:tcBorders>
                  <w:hideMark/>
                </w:tcPr>
                <w:p w14:paraId="4238F0A5" w14:textId="77777777" w:rsidR="00540F00" w:rsidRDefault="00540F00">
                  <w:pPr>
                    <w:pStyle w:val="BodyText"/>
                    <w:spacing w:before="223" w:line="264" w:lineRule="auto"/>
                    <w:jc w:val="center"/>
                    <w:rPr>
                      <w:rFonts w:ascii="Arial" w:eastAsiaTheme="minorHAnsi" w:hAnsi="Arial" w:cs="Arial"/>
                      <w:sz w:val="22"/>
                      <w:szCs w:val="22"/>
                    </w:rPr>
                  </w:pPr>
                  <w:r>
                    <w:rPr>
                      <w:rFonts w:ascii="Arial" w:hAnsi="Arial" w:cs="Arial"/>
                      <w:sz w:val="22"/>
                      <w:szCs w:val="22"/>
                    </w:rPr>
                    <w:t>M/S PA Requirements</w:t>
                  </w:r>
                </w:p>
              </w:tc>
            </w:tr>
            <w:tr w:rsidR="00540F00" w14:paraId="597D7570"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25AF8880"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Total M/S Drugs</w:t>
                  </w:r>
                </w:p>
              </w:tc>
              <w:tc>
                <w:tcPr>
                  <w:tcW w:w="4593" w:type="dxa"/>
                  <w:tcBorders>
                    <w:top w:val="single" w:sz="4" w:space="0" w:color="auto"/>
                    <w:left w:val="single" w:sz="4" w:space="0" w:color="auto"/>
                    <w:bottom w:val="single" w:sz="4" w:space="0" w:color="auto"/>
                    <w:right w:val="single" w:sz="4" w:space="0" w:color="auto"/>
                  </w:tcBorders>
                  <w:hideMark/>
                </w:tcPr>
                <w:p w14:paraId="5A1457E9"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8,742</w:t>
                  </w:r>
                </w:p>
              </w:tc>
            </w:tr>
            <w:tr w:rsidR="00540F00" w14:paraId="51C4C46F"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3D0F23D4"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Total M/S Drugs Requiring PA</w:t>
                  </w:r>
                </w:p>
              </w:tc>
              <w:tc>
                <w:tcPr>
                  <w:tcW w:w="4593" w:type="dxa"/>
                  <w:tcBorders>
                    <w:top w:val="single" w:sz="4" w:space="0" w:color="auto"/>
                    <w:left w:val="single" w:sz="4" w:space="0" w:color="auto"/>
                    <w:bottom w:val="single" w:sz="4" w:space="0" w:color="auto"/>
                    <w:right w:val="single" w:sz="4" w:space="0" w:color="auto"/>
                  </w:tcBorders>
                  <w:hideMark/>
                </w:tcPr>
                <w:p w14:paraId="08DE4334"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1,753</w:t>
                  </w:r>
                </w:p>
              </w:tc>
            </w:tr>
            <w:tr w:rsidR="00540F00" w14:paraId="10D2089D" w14:textId="77777777">
              <w:trPr>
                <w:trHeight w:val="742"/>
              </w:trPr>
              <w:tc>
                <w:tcPr>
                  <w:tcW w:w="4657" w:type="dxa"/>
                  <w:tcBorders>
                    <w:top w:val="single" w:sz="4" w:space="0" w:color="auto"/>
                    <w:left w:val="single" w:sz="4" w:space="0" w:color="auto"/>
                    <w:bottom w:val="single" w:sz="4" w:space="0" w:color="auto"/>
                    <w:right w:val="single" w:sz="4" w:space="0" w:color="auto"/>
                  </w:tcBorders>
                  <w:hideMark/>
                </w:tcPr>
                <w:p w14:paraId="04B0A60D"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PA Required Rate</w:t>
                  </w:r>
                </w:p>
              </w:tc>
              <w:tc>
                <w:tcPr>
                  <w:tcW w:w="4593" w:type="dxa"/>
                  <w:tcBorders>
                    <w:top w:val="single" w:sz="4" w:space="0" w:color="auto"/>
                    <w:left w:val="single" w:sz="4" w:space="0" w:color="auto"/>
                    <w:bottom w:val="single" w:sz="4" w:space="0" w:color="auto"/>
                    <w:right w:val="single" w:sz="4" w:space="0" w:color="auto"/>
                  </w:tcBorders>
                  <w:hideMark/>
                </w:tcPr>
                <w:p w14:paraId="07DEFE64"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20%</w:t>
                  </w:r>
                </w:p>
              </w:tc>
            </w:tr>
          </w:tbl>
          <w:p w14:paraId="64A1310C" w14:textId="77777777" w:rsidR="00540F00" w:rsidRDefault="00540F00">
            <w:pPr>
              <w:pStyle w:val="ListParagraph"/>
              <w:rPr>
                <w:rFonts w:ascii="Arial" w:eastAsia="Times New Roman" w:hAnsi="Arial" w:cs="Arial"/>
              </w:rPr>
            </w:pPr>
          </w:p>
          <w:p w14:paraId="16E3742D" w14:textId="77777777" w:rsidR="00540F00" w:rsidRDefault="00540F00" w:rsidP="00540F00">
            <w:pPr>
              <w:pStyle w:val="ListParagraph"/>
              <w:numPr>
                <w:ilvl w:val="0"/>
                <w:numId w:val="56"/>
              </w:numPr>
              <w:spacing w:after="0" w:line="240" w:lineRule="auto"/>
              <w:rPr>
                <w:rFonts w:ascii="Arial" w:eastAsia="Times New Roman" w:hAnsi="Arial" w:cs="Arial"/>
              </w:rPr>
            </w:pPr>
            <w:r>
              <w:rPr>
                <w:rFonts w:ascii="Arial" w:eastAsia="Times New Roman" w:hAnsi="Arial" w:cs="Arial"/>
              </w:rPr>
              <w:t xml:space="preserve">We also completed an analysis of the turnaround times for PA requests to be issued either an approval or denial. On average, the turnaround time for M/S drugs was less than 1 </w:t>
            </w:r>
            <w:proofErr w:type="gramStart"/>
            <w:r>
              <w:rPr>
                <w:rFonts w:ascii="Arial" w:eastAsia="Times New Roman" w:hAnsi="Arial" w:cs="Arial"/>
              </w:rPr>
              <w:t>day</w:t>
            </w:r>
            <w:proofErr w:type="gramEnd"/>
          </w:p>
          <w:p w14:paraId="2EEC9B85" w14:textId="77777777" w:rsidR="00540F00" w:rsidRDefault="00540F00">
            <w:pPr>
              <w:pStyle w:val="ListParagraph"/>
              <w:rPr>
                <w:rFonts w:ascii="Arial" w:eastAsia="Times New Roman" w:hAnsi="Arial" w:cs="Arial"/>
              </w:rPr>
            </w:pPr>
          </w:p>
          <w:p w14:paraId="4617077F" w14:textId="77777777" w:rsidR="00540F00" w:rsidRDefault="00540F00" w:rsidP="00540F00">
            <w:pPr>
              <w:pStyle w:val="ListParagraph"/>
              <w:numPr>
                <w:ilvl w:val="0"/>
                <w:numId w:val="56"/>
              </w:numPr>
              <w:spacing w:after="0" w:line="240" w:lineRule="auto"/>
              <w:rPr>
                <w:rFonts w:ascii="Arial" w:eastAsia="Times New Roman" w:hAnsi="Arial" w:cs="Arial"/>
              </w:rPr>
            </w:pPr>
            <w:r>
              <w:rPr>
                <w:rFonts w:ascii="Arial" w:hAnsi="Arial" w:cs="Arial"/>
              </w:rPr>
              <w:t xml:space="preserve">We also completed an analysis of denial rates for requests for Prior Authorization in calendar year 2022. Results can be seen in the table below. Most recent Interrater reliability results for reviews performed were 93.94% for M/S reviews. </w:t>
            </w:r>
          </w:p>
          <w:p w14:paraId="7C87663B" w14:textId="77777777" w:rsidR="00540F00" w:rsidRDefault="00540F00">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284"/>
              <w:gridCol w:w="1986"/>
            </w:tblGrid>
            <w:tr w:rsidR="00540F00" w14:paraId="03627502"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7169D021" w14:textId="77777777" w:rsidR="00540F00" w:rsidRDefault="00540F00">
                  <w:pPr>
                    <w:pStyle w:val="ListParagraph"/>
                    <w:ind w:left="0"/>
                    <w:jc w:val="center"/>
                    <w:rPr>
                      <w:rFonts w:ascii="Arial" w:eastAsia="Times New Roman" w:hAnsi="Arial" w:cs="Arial"/>
                    </w:rPr>
                  </w:pPr>
                  <w:r>
                    <w:rPr>
                      <w:rFonts w:ascii="Arial" w:eastAsia="Times New Roman" w:hAnsi="Arial" w:cs="Arial"/>
                    </w:rPr>
                    <w:t>Global M/S PA Analysis</w:t>
                  </w:r>
                </w:p>
              </w:tc>
            </w:tr>
            <w:tr w:rsidR="00540F00" w14:paraId="210254EA" w14:textId="77777777">
              <w:tc>
                <w:tcPr>
                  <w:tcW w:w="4390" w:type="dxa"/>
                  <w:tcBorders>
                    <w:top w:val="single" w:sz="4" w:space="0" w:color="auto"/>
                    <w:left w:val="single" w:sz="4" w:space="0" w:color="auto"/>
                    <w:bottom w:val="single" w:sz="4" w:space="0" w:color="auto"/>
                    <w:right w:val="single" w:sz="4" w:space="0" w:color="auto"/>
                  </w:tcBorders>
                  <w:hideMark/>
                </w:tcPr>
                <w:p w14:paraId="732F7A4E" w14:textId="77777777" w:rsidR="00540F00" w:rsidRDefault="00540F00">
                  <w:pPr>
                    <w:pStyle w:val="ListParagraph"/>
                    <w:ind w:left="0"/>
                    <w:rPr>
                      <w:rFonts w:ascii="Arial" w:eastAsia="Times New Roman" w:hAnsi="Arial" w:cs="Arial"/>
                    </w:rPr>
                  </w:pPr>
                  <w:r>
                    <w:rPr>
                      <w:rFonts w:ascii="Arial" w:eastAsia="Times New Roman" w:hAnsi="Arial" w:cs="Arial"/>
                    </w:rPr>
                    <w:t>Total PA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7F740575" w14:textId="77777777" w:rsidR="00540F00" w:rsidRDefault="00540F00">
                  <w:pPr>
                    <w:pStyle w:val="ListParagraph"/>
                    <w:ind w:left="0"/>
                    <w:jc w:val="center"/>
                    <w:rPr>
                      <w:rFonts w:ascii="Arial" w:eastAsia="Times New Roman" w:hAnsi="Arial" w:cs="Arial"/>
                    </w:rPr>
                  </w:pPr>
                  <w:r>
                    <w:rPr>
                      <w:rFonts w:ascii="Arial" w:eastAsia="Times New Roman" w:hAnsi="Arial" w:cs="Arial"/>
                    </w:rPr>
                    <w:t>2648</w:t>
                  </w:r>
                </w:p>
              </w:tc>
            </w:tr>
            <w:tr w:rsidR="00540F00" w14:paraId="58AFC133" w14:textId="77777777">
              <w:tc>
                <w:tcPr>
                  <w:tcW w:w="4390" w:type="dxa"/>
                  <w:tcBorders>
                    <w:top w:val="single" w:sz="4" w:space="0" w:color="auto"/>
                    <w:left w:val="single" w:sz="4" w:space="0" w:color="auto"/>
                    <w:bottom w:val="single" w:sz="4" w:space="0" w:color="auto"/>
                    <w:right w:val="single" w:sz="4" w:space="0" w:color="auto"/>
                  </w:tcBorders>
                  <w:hideMark/>
                </w:tcPr>
                <w:p w14:paraId="71804EC6" w14:textId="77777777" w:rsidR="00540F00" w:rsidRDefault="00540F00">
                  <w:pPr>
                    <w:pStyle w:val="ListParagraph"/>
                    <w:ind w:left="0"/>
                    <w:rPr>
                      <w:rFonts w:ascii="Arial" w:eastAsia="Times New Roman" w:hAnsi="Arial" w:cs="Arial"/>
                    </w:rPr>
                  </w:pPr>
                  <w:r>
                    <w:rPr>
                      <w:rFonts w:ascii="Arial" w:eastAsia="Times New Roman" w:hAnsi="Arial" w:cs="Arial"/>
                    </w:rPr>
                    <w:t>Total PA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25B03DB" w14:textId="77777777" w:rsidR="00540F00" w:rsidRDefault="00540F00">
                  <w:pPr>
                    <w:pStyle w:val="ListParagraph"/>
                    <w:ind w:left="0"/>
                    <w:jc w:val="center"/>
                    <w:rPr>
                      <w:rFonts w:ascii="Arial" w:eastAsia="Times New Roman" w:hAnsi="Arial" w:cs="Arial"/>
                    </w:rPr>
                  </w:pPr>
                  <w:r>
                    <w:rPr>
                      <w:rFonts w:ascii="Arial" w:eastAsia="Times New Roman" w:hAnsi="Arial" w:cs="Arial"/>
                    </w:rPr>
                    <w:t>1857</w:t>
                  </w:r>
                </w:p>
              </w:tc>
            </w:tr>
            <w:tr w:rsidR="00540F00" w14:paraId="2EC8B459" w14:textId="77777777">
              <w:tc>
                <w:tcPr>
                  <w:tcW w:w="4390" w:type="dxa"/>
                  <w:tcBorders>
                    <w:top w:val="single" w:sz="4" w:space="0" w:color="auto"/>
                    <w:left w:val="single" w:sz="4" w:space="0" w:color="auto"/>
                    <w:bottom w:val="single" w:sz="4" w:space="0" w:color="auto"/>
                    <w:right w:val="single" w:sz="4" w:space="0" w:color="auto"/>
                  </w:tcBorders>
                  <w:hideMark/>
                </w:tcPr>
                <w:p w14:paraId="699396CB" w14:textId="77777777" w:rsidR="00540F00" w:rsidRDefault="00540F00">
                  <w:pPr>
                    <w:pStyle w:val="ListParagraph"/>
                    <w:ind w:left="0"/>
                    <w:rPr>
                      <w:rFonts w:ascii="Arial" w:eastAsia="Times New Roman" w:hAnsi="Arial" w:cs="Arial"/>
                    </w:rPr>
                  </w:pPr>
                  <w:r>
                    <w:rPr>
                      <w:rFonts w:ascii="Arial" w:eastAsia="Times New Roman" w:hAnsi="Arial" w:cs="Arial"/>
                    </w:rPr>
                    <w:t>Total PA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E0CDEB5" w14:textId="77777777" w:rsidR="00540F00" w:rsidRDefault="00540F00">
                  <w:pPr>
                    <w:pStyle w:val="ListParagraph"/>
                    <w:ind w:left="0"/>
                    <w:jc w:val="center"/>
                    <w:rPr>
                      <w:rFonts w:ascii="Arial" w:eastAsia="Times New Roman" w:hAnsi="Arial" w:cs="Arial"/>
                    </w:rPr>
                  </w:pPr>
                  <w:r>
                    <w:rPr>
                      <w:rFonts w:ascii="Arial" w:eastAsia="Times New Roman" w:hAnsi="Arial" w:cs="Arial"/>
                    </w:rPr>
                    <w:t>791</w:t>
                  </w:r>
                </w:p>
              </w:tc>
            </w:tr>
            <w:tr w:rsidR="00540F00" w14:paraId="38A1E1BC" w14:textId="77777777">
              <w:tc>
                <w:tcPr>
                  <w:tcW w:w="4390" w:type="dxa"/>
                  <w:tcBorders>
                    <w:top w:val="single" w:sz="4" w:space="0" w:color="auto"/>
                    <w:left w:val="single" w:sz="4" w:space="0" w:color="auto"/>
                    <w:bottom w:val="single" w:sz="4" w:space="0" w:color="auto"/>
                    <w:right w:val="single" w:sz="4" w:space="0" w:color="auto"/>
                  </w:tcBorders>
                  <w:hideMark/>
                </w:tcPr>
                <w:p w14:paraId="64BB9811" w14:textId="77777777" w:rsidR="00540F00" w:rsidRDefault="00540F00">
                  <w:pPr>
                    <w:pStyle w:val="ListParagraph"/>
                    <w:ind w:left="0"/>
                    <w:rPr>
                      <w:rFonts w:ascii="Arial" w:eastAsia="Times New Roman" w:hAnsi="Arial" w:cs="Arial"/>
                    </w:rPr>
                  </w:pPr>
                  <w:r>
                    <w:rPr>
                      <w:rFonts w:ascii="Arial" w:eastAsia="Times New Roman" w:hAnsi="Arial" w:cs="Arial"/>
                    </w:rPr>
                    <w:t>PA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BC5A6EF" w14:textId="77777777" w:rsidR="00540F00" w:rsidRDefault="00540F00">
                  <w:pPr>
                    <w:pStyle w:val="ListParagraph"/>
                    <w:ind w:left="0"/>
                    <w:jc w:val="center"/>
                    <w:rPr>
                      <w:rFonts w:ascii="Arial" w:eastAsia="Times New Roman" w:hAnsi="Arial" w:cs="Arial"/>
                    </w:rPr>
                  </w:pPr>
                  <w:r>
                    <w:rPr>
                      <w:rFonts w:ascii="Arial" w:eastAsia="Times New Roman" w:hAnsi="Arial" w:cs="Arial"/>
                    </w:rPr>
                    <w:t>70.1%</w:t>
                  </w:r>
                </w:p>
              </w:tc>
            </w:tr>
            <w:tr w:rsidR="00540F00" w14:paraId="768208DF" w14:textId="77777777">
              <w:tc>
                <w:tcPr>
                  <w:tcW w:w="4390" w:type="dxa"/>
                  <w:tcBorders>
                    <w:top w:val="single" w:sz="4" w:space="0" w:color="auto"/>
                    <w:left w:val="single" w:sz="4" w:space="0" w:color="auto"/>
                    <w:bottom w:val="single" w:sz="4" w:space="0" w:color="auto"/>
                    <w:right w:val="single" w:sz="4" w:space="0" w:color="auto"/>
                  </w:tcBorders>
                  <w:hideMark/>
                </w:tcPr>
                <w:p w14:paraId="355DCB01" w14:textId="77777777" w:rsidR="00540F00" w:rsidRDefault="00540F00">
                  <w:pPr>
                    <w:pStyle w:val="ListParagraph"/>
                    <w:ind w:left="0"/>
                    <w:rPr>
                      <w:rFonts w:ascii="Arial" w:eastAsia="Times New Roman" w:hAnsi="Arial" w:cs="Arial"/>
                    </w:rPr>
                  </w:pPr>
                  <w:r>
                    <w:rPr>
                      <w:rFonts w:ascii="Arial" w:eastAsia="Times New Roman" w:hAnsi="Arial" w:cs="Arial"/>
                    </w:rPr>
                    <w:t>PA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A41B9CE" w14:textId="77777777" w:rsidR="00540F00" w:rsidRDefault="00540F00">
                  <w:pPr>
                    <w:pStyle w:val="ListParagraph"/>
                    <w:ind w:left="0"/>
                    <w:jc w:val="center"/>
                    <w:rPr>
                      <w:rFonts w:ascii="Arial" w:eastAsia="Times New Roman" w:hAnsi="Arial" w:cs="Arial"/>
                    </w:rPr>
                  </w:pPr>
                  <w:r>
                    <w:rPr>
                      <w:rFonts w:ascii="Arial" w:eastAsia="Times New Roman" w:hAnsi="Arial" w:cs="Arial"/>
                    </w:rPr>
                    <w:t>29.9%</w:t>
                  </w:r>
                </w:p>
              </w:tc>
            </w:tr>
          </w:tbl>
          <w:p w14:paraId="759B4892" w14:textId="77777777" w:rsidR="00540F00" w:rsidRDefault="00540F00">
            <w:pPr>
              <w:pStyle w:val="ListParagraph"/>
              <w:rPr>
                <w:rFonts w:ascii="Arial" w:eastAsia="Times New Roman" w:hAnsi="Arial" w:cs="Arial"/>
              </w:rPr>
            </w:pPr>
          </w:p>
          <w:p w14:paraId="613C0917" w14:textId="77777777" w:rsidR="00540F00" w:rsidRDefault="00540F00">
            <w:pPr>
              <w:pStyle w:val="ListParagraph"/>
              <w:rPr>
                <w:rFonts w:ascii="Arial" w:eastAsia="Times New Roman" w:hAnsi="Arial" w:cs="Arial"/>
              </w:rPr>
            </w:pPr>
          </w:p>
          <w:p w14:paraId="5735A187" w14:textId="77777777" w:rsidR="00540F00" w:rsidRDefault="00540F00">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303"/>
              <w:gridCol w:w="1967"/>
            </w:tblGrid>
            <w:tr w:rsidR="00540F00" w14:paraId="1159A34D"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3F82A0A5" w14:textId="77777777" w:rsidR="00540F00" w:rsidRDefault="00540F00">
                  <w:pPr>
                    <w:pStyle w:val="ListParagraph"/>
                    <w:ind w:left="0"/>
                    <w:jc w:val="center"/>
                    <w:rPr>
                      <w:rFonts w:ascii="Arial" w:eastAsia="Times New Roman" w:hAnsi="Arial" w:cs="Arial"/>
                    </w:rPr>
                  </w:pPr>
                  <w:r>
                    <w:rPr>
                      <w:rFonts w:ascii="Arial" w:eastAsia="Times New Roman" w:hAnsi="Arial" w:cs="Arial"/>
                    </w:rPr>
                    <w:t>MD M/S PA Analysis</w:t>
                  </w:r>
                </w:p>
              </w:tc>
            </w:tr>
            <w:tr w:rsidR="00540F00" w14:paraId="79A511E5" w14:textId="77777777">
              <w:tc>
                <w:tcPr>
                  <w:tcW w:w="4390" w:type="dxa"/>
                  <w:tcBorders>
                    <w:top w:val="single" w:sz="4" w:space="0" w:color="auto"/>
                    <w:left w:val="single" w:sz="4" w:space="0" w:color="auto"/>
                    <w:bottom w:val="single" w:sz="4" w:space="0" w:color="auto"/>
                    <w:right w:val="single" w:sz="4" w:space="0" w:color="auto"/>
                  </w:tcBorders>
                  <w:hideMark/>
                </w:tcPr>
                <w:p w14:paraId="36DA6DC8" w14:textId="77777777" w:rsidR="00540F00" w:rsidRDefault="00540F00">
                  <w:pPr>
                    <w:pStyle w:val="ListParagraph"/>
                    <w:ind w:left="0"/>
                    <w:rPr>
                      <w:rFonts w:ascii="Arial" w:eastAsia="Times New Roman" w:hAnsi="Arial" w:cs="Arial"/>
                    </w:rPr>
                  </w:pPr>
                  <w:r>
                    <w:rPr>
                      <w:rFonts w:ascii="Arial" w:eastAsia="Times New Roman" w:hAnsi="Arial" w:cs="Arial"/>
                    </w:rPr>
                    <w:t>Total PA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74B25CF5" w14:textId="77777777" w:rsidR="00540F00" w:rsidRDefault="00540F00">
                  <w:pPr>
                    <w:pStyle w:val="ListParagraph"/>
                    <w:ind w:left="0"/>
                    <w:jc w:val="center"/>
                    <w:rPr>
                      <w:rFonts w:ascii="Arial" w:eastAsia="Times New Roman" w:hAnsi="Arial" w:cs="Arial"/>
                    </w:rPr>
                  </w:pPr>
                  <w:r>
                    <w:rPr>
                      <w:rFonts w:ascii="Arial" w:eastAsia="Times New Roman" w:hAnsi="Arial" w:cs="Arial"/>
                    </w:rPr>
                    <w:t>2</w:t>
                  </w:r>
                </w:p>
              </w:tc>
            </w:tr>
            <w:tr w:rsidR="00540F00" w14:paraId="40BDD4AB" w14:textId="77777777">
              <w:tc>
                <w:tcPr>
                  <w:tcW w:w="4390" w:type="dxa"/>
                  <w:tcBorders>
                    <w:top w:val="single" w:sz="4" w:space="0" w:color="auto"/>
                    <w:left w:val="single" w:sz="4" w:space="0" w:color="auto"/>
                    <w:bottom w:val="single" w:sz="4" w:space="0" w:color="auto"/>
                    <w:right w:val="single" w:sz="4" w:space="0" w:color="auto"/>
                  </w:tcBorders>
                  <w:hideMark/>
                </w:tcPr>
                <w:p w14:paraId="4CAC77CD" w14:textId="77777777" w:rsidR="00540F00" w:rsidRDefault="00540F00">
                  <w:pPr>
                    <w:pStyle w:val="ListParagraph"/>
                    <w:ind w:left="0"/>
                    <w:rPr>
                      <w:rFonts w:ascii="Arial" w:eastAsia="Times New Roman" w:hAnsi="Arial" w:cs="Arial"/>
                    </w:rPr>
                  </w:pPr>
                  <w:r>
                    <w:rPr>
                      <w:rFonts w:ascii="Arial" w:eastAsia="Times New Roman" w:hAnsi="Arial" w:cs="Arial"/>
                    </w:rPr>
                    <w:t>Total PA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F7CC5D2" w14:textId="77777777" w:rsidR="00540F00" w:rsidRDefault="00540F00">
                  <w:pPr>
                    <w:pStyle w:val="ListParagraph"/>
                    <w:ind w:left="0"/>
                    <w:jc w:val="center"/>
                    <w:rPr>
                      <w:rFonts w:ascii="Arial" w:eastAsia="Times New Roman" w:hAnsi="Arial" w:cs="Arial"/>
                    </w:rPr>
                  </w:pPr>
                  <w:r>
                    <w:rPr>
                      <w:rFonts w:ascii="Arial" w:eastAsia="Times New Roman" w:hAnsi="Arial" w:cs="Arial"/>
                    </w:rPr>
                    <w:t>2</w:t>
                  </w:r>
                </w:p>
              </w:tc>
            </w:tr>
            <w:tr w:rsidR="00540F00" w14:paraId="36FEFC1D" w14:textId="77777777">
              <w:tc>
                <w:tcPr>
                  <w:tcW w:w="4390" w:type="dxa"/>
                  <w:tcBorders>
                    <w:top w:val="single" w:sz="4" w:space="0" w:color="auto"/>
                    <w:left w:val="single" w:sz="4" w:space="0" w:color="auto"/>
                    <w:bottom w:val="single" w:sz="4" w:space="0" w:color="auto"/>
                    <w:right w:val="single" w:sz="4" w:space="0" w:color="auto"/>
                  </w:tcBorders>
                  <w:hideMark/>
                </w:tcPr>
                <w:p w14:paraId="4D94739F" w14:textId="77777777" w:rsidR="00540F00" w:rsidRDefault="00540F00">
                  <w:pPr>
                    <w:pStyle w:val="ListParagraph"/>
                    <w:ind w:left="0"/>
                    <w:rPr>
                      <w:rFonts w:ascii="Arial" w:eastAsia="Times New Roman" w:hAnsi="Arial" w:cs="Arial"/>
                    </w:rPr>
                  </w:pPr>
                  <w:r>
                    <w:rPr>
                      <w:rFonts w:ascii="Arial" w:eastAsia="Times New Roman" w:hAnsi="Arial" w:cs="Arial"/>
                    </w:rPr>
                    <w:t>Total PA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32469E3" w14:textId="77777777" w:rsidR="00540F00" w:rsidRDefault="00540F00">
                  <w:pPr>
                    <w:pStyle w:val="ListParagraph"/>
                    <w:ind w:left="0"/>
                    <w:jc w:val="center"/>
                    <w:rPr>
                      <w:rFonts w:ascii="Arial" w:eastAsia="Times New Roman" w:hAnsi="Arial" w:cs="Arial"/>
                    </w:rPr>
                  </w:pPr>
                  <w:r>
                    <w:rPr>
                      <w:rFonts w:ascii="Arial" w:eastAsia="Times New Roman" w:hAnsi="Arial" w:cs="Arial"/>
                    </w:rPr>
                    <w:t>0</w:t>
                  </w:r>
                </w:p>
              </w:tc>
            </w:tr>
            <w:tr w:rsidR="00540F00" w14:paraId="486928BC" w14:textId="77777777">
              <w:tc>
                <w:tcPr>
                  <w:tcW w:w="4390" w:type="dxa"/>
                  <w:tcBorders>
                    <w:top w:val="single" w:sz="4" w:space="0" w:color="auto"/>
                    <w:left w:val="single" w:sz="4" w:space="0" w:color="auto"/>
                    <w:bottom w:val="single" w:sz="4" w:space="0" w:color="auto"/>
                    <w:right w:val="single" w:sz="4" w:space="0" w:color="auto"/>
                  </w:tcBorders>
                  <w:hideMark/>
                </w:tcPr>
                <w:p w14:paraId="6F1AA56C" w14:textId="77777777" w:rsidR="00540F00" w:rsidRDefault="00540F00">
                  <w:pPr>
                    <w:pStyle w:val="ListParagraph"/>
                    <w:ind w:left="0"/>
                    <w:rPr>
                      <w:rFonts w:ascii="Arial" w:eastAsia="Times New Roman" w:hAnsi="Arial" w:cs="Arial"/>
                    </w:rPr>
                  </w:pPr>
                  <w:r>
                    <w:rPr>
                      <w:rFonts w:ascii="Arial" w:eastAsia="Times New Roman" w:hAnsi="Arial" w:cs="Arial"/>
                    </w:rPr>
                    <w:t>PA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C49059C" w14:textId="77777777" w:rsidR="00540F00" w:rsidRDefault="00540F00">
                  <w:pPr>
                    <w:pStyle w:val="ListParagraph"/>
                    <w:ind w:left="0"/>
                    <w:jc w:val="center"/>
                    <w:rPr>
                      <w:rFonts w:ascii="Arial" w:eastAsia="Times New Roman" w:hAnsi="Arial" w:cs="Arial"/>
                    </w:rPr>
                  </w:pPr>
                  <w:r>
                    <w:rPr>
                      <w:rFonts w:ascii="Arial" w:eastAsia="Times New Roman" w:hAnsi="Arial" w:cs="Arial"/>
                    </w:rPr>
                    <w:t>100%</w:t>
                  </w:r>
                </w:p>
              </w:tc>
            </w:tr>
            <w:tr w:rsidR="00540F00" w14:paraId="66BA6620" w14:textId="77777777">
              <w:tc>
                <w:tcPr>
                  <w:tcW w:w="4390" w:type="dxa"/>
                  <w:tcBorders>
                    <w:top w:val="single" w:sz="4" w:space="0" w:color="auto"/>
                    <w:left w:val="single" w:sz="4" w:space="0" w:color="auto"/>
                    <w:bottom w:val="single" w:sz="4" w:space="0" w:color="auto"/>
                    <w:right w:val="single" w:sz="4" w:space="0" w:color="auto"/>
                  </w:tcBorders>
                  <w:hideMark/>
                </w:tcPr>
                <w:p w14:paraId="054C7FE7" w14:textId="77777777" w:rsidR="00540F00" w:rsidRDefault="00540F00">
                  <w:pPr>
                    <w:pStyle w:val="ListParagraph"/>
                    <w:ind w:left="0"/>
                    <w:rPr>
                      <w:rFonts w:ascii="Arial" w:eastAsia="Times New Roman" w:hAnsi="Arial" w:cs="Arial"/>
                    </w:rPr>
                  </w:pPr>
                  <w:r>
                    <w:rPr>
                      <w:rFonts w:ascii="Arial" w:eastAsia="Times New Roman" w:hAnsi="Arial" w:cs="Arial"/>
                    </w:rPr>
                    <w:t>PA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2D37EF5" w14:textId="77777777" w:rsidR="00540F00" w:rsidRDefault="00540F00">
                  <w:pPr>
                    <w:pStyle w:val="ListParagraph"/>
                    <w:ind w:left="0"/>
                    <w:jc w:val="center"/>
                    <w:rPr>
                      <w:rFonts w:ascii="Arial" w:eastAsia="Times New Roman" w:hAnsi="Arial" w:cs="Arial"/>
                    </w:rPr>
                  </w:pPr>
                  <w:r>
                    <w:rPr>
                      <w:rFonts w:ascii="Arial" w:eastAsia="Times New Roman" w:hAnsi="Arial" w:cs="Arial"/>
                    </w:rPr>
                    <w:t>0%</w:t>
                  </w:r>
                </w:p>
              </w:tc>
            </w:tr>
          </w:tbl>
          <w:p w14:paraId="17ECD3C3" w14:textId="77777777" w:rsidR="00540F00" w:rsidRDefault="00540F00">
            <w:pPr>
              <w:pStyle w:val="ListParagraph"/>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73849629" w14:textId="77777777" w:rsidR="00540F00" w:rsidRDefault="00540F00">
            <w:pPr>
              <w:pStyle w:val="BodyText"/>
              <w:spacing w:before="223" w:line="264" w:lineRule="auto"/>
              <w:rPr>
                <w:rFonts w:ascii="Arial" w:eastAsiaTheme="minorHAnsi" w:hAnsi="Arial" w:cs="Arial"/>
                <w:sz w:val="22"/>
                <w:szCs w:val="22"/>
              </w:rPr>
            </w:pPr>
            <w:r>
              <w:rPr>
                <w:rFonts w:ascii="Arial" w:hAnsi="Arial" w:cs="Arial"/>
                <w:sz w:val="22"/>
                <w:szCs w:val="22"/>
              </w:rPr>
              <w:t>To ensure that the processes, strategies, evidentiary standards, and other factors used to apply prior authorization to MH/SUD drugs, in operation, are comparable to, and are applied no more stringently than, the processes, strategies, evidentiary standards, and other factors used to apply prior authorization to M/S drugs, prior authorization (PA) for prescription drugs is analyzed semi-annually. One analysis we completed was a review of the percentage of drugs in the M/S and MH/SUD classifications that are subject to prior authorization. See table below for MH/SUD results.</w:t>
            </w:r>
          </w:p>
          <w:tbl>
            <w:tblPr>
              <w:tblStyle w:val="TableGrid"/>
              <w:tblW w:w="0" w:type="auto"/>
              <w:tblLook w:val="04A0" w:firstRow="1" w:lastRow="0" w:firstColumn="1" w:lastColumn="0" w:noHBand="0" w:noVBand="1"/>
            </w:tblPr>
            <w:tblGrid>
              <w:gridCol w:w="2114"/>
              <w:gridCol w:w="1794"/>
            </w:tblGrid>
            <w:tr w:rsidR="00540F00" w14:paraId="4691BC51" w14:textId="77777777">
              <w:trPr>
                <w:trHeight w:val="305"/>
              </w:trPr>
              <w:tc>
                <w:tcPr>
                  <w:tcW w:w="9314" w:type="dxa"/>
                  <w:gridSpan w:val="2"/>
                  <w:tcBorders>
                    <w:top w:val="single" w:sz="4" w:space="0" w:color="auto"/>
                    <w:left w:val="single" w:sz="4" w:space="0" w:color="auto"/>
                    <w:bottom w:val="single" w:sz="4" w:space="0" w:color="auto"/>
                    <w:right w:val="single" w:sz="4" w:space="0" w:color="auto"/>
                  </w:tcBorders>
                  <w:hideMark/>
                </w:tcPr>
                <w:p w14:paraId="4081972F" w14:textId="77777777" w:rsidR="00540F00" w:rsidRDefault="00540F00">
                  <w:pPr>
                    <w:pStyle w:val="BodyText"/>
                    <w:spacing w:before="223" w:line="264" w:lineRule="auto"/>
                    <w:jc w:val="center"/>
                    <w:rPr>
                      <w:rFonts w:ascii="Arial" w:hAnsi="Arial" w:cs="Arial"/>
                      <w:sz w:val="22"/>
                      <w:szCs w:val="22"/>
                    </w:rPr>
                  </w:pPr>
                  <w:r>
                    <w:rPr>
                      <w:rFonts w:ascii="Arial" w:hAnsi="Arial" w:cs="Arial"/>
                      <w:sz w:val="22"/>
                      <w:szCs w:val="22"/>
                    </w:rPr>
                    <w:t>MH/SUD PA Requirements</w:t>
                  </w:r>
                </w:p>
              </w:tc>
            </w:tr>
            <w:tr w:rsidR="00540F00" w14:paraId="1C83C171"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5FF24BE3"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Total MH/SUD Drugs</w:t>
                  </w:r>
                </w:p>
              </w:tc>
              <w:tc>
                <w:tcPr>
                  <w:tcW w:w="4657" w:type="dxa"/>
                  <w:tcBorders>
                    <w:top w:val="single" w:sz="4" w:space="0" w:color="auto"/>
                    <w:left w:val="single" w:sz="4" w:space="0" w:color="auto"/>
                    <w:bottom w:val="single" w:sz="4" w:space="0" w:color="auto"/>
                    <w:right w:val="single" w:sz="4" w:space="0" w:color="auto"/>
                  </w:tcBorders>
                  <w:hideMark/>
                </w:tcPr>
                <w:p w14:paraId="6D5622D9"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772</w:t>
                  </w:r>
                </w:p>
              </w:tc>
            </w:tr>
            <w:tr w:rsidR="00540F00" w14:paraId="14AADEB0"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05A0C107"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Total MH/SUD Drugs Requiring PA</w:t>
                  </w:r>
                </w:p>
              </w:tc>
              <w:tc>
                <w:tcPr>
                  <w:tcW w:w="4657" w:type="dxa"/>
                  <w:tcBorders>
                    <w:top w:val="single" w:sz="4" w:space="0" w:color="auto"/>
                    <w:left w:val="single" w:sz="4" w:space="0" w:color="auto"/>
                    <w:bottom w:val="single" w:sz="4" w:space="0" w:color="auto"/>
                    <w:right w:val="single" w:sz="4" w:space="0" w:color="auto"/>
                  </w:tcBorders>
                  <w:hideMark/>
                </w:tcPr>
                <w:p w14:paraId="0319ED22"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48</w:t>
                  </w:r>
                </w:p>
              </w:tc>
            </w:tr>
            <w:tr w:rsidR="00540F00" w14:paraId="40061B90" w14:textId="77777777">
              <w:trPr>
                <w:trHeight w:val="742"/>
              </w:trPr>
              <w:tc>
                <w:tcPr>
                  <w:tcW w:w="4657" w:type="dxa"/>
                  <w:tcBorders>
                    <w:top w:val="single" w:sz="4" w:space="0" w:color="auto"/>
                    <w:left w:val="single" w:sz="4" w:space="0" w:color="auto"/>
                    <w:bottom w:val="single" w:sz="4" w:space="0" w:color="auto"/>
                    <w:right w:val="single" w:sz="4" w:space="0" w:color="auto"/>
                  </w:tcBorders>
                  <w:hideMark/>
                </w:tcPr>
                <w:p w14:paraId="7A2DB54B"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PA Required Rate</w:t>
                  </w:r>
                </w:p>
              </w:tc>
              <w:tc>
                <w:tcPr>
                  <w:tcW w:w="4657" w:type="dxa"/>
                  <w:tcBorders>
                    <w:top w:val="single" w:sz="4" w:space="0" w:color="auto"/>
                    <w:left w:val="single" w:sz="4" w:space="0" w:color="auto"/>
                    <w:bottom w:val="single" w:sz="4" w:space="0" w:color="auto"/>
                    <w:right w:val="single" w:sz="4" w:space="0" w:color="auto"/>
                  </w:tcBorders>
                  <w:hideMark/>
                </w:tcPr>
                <w:p w14:paraId="4690E74C" w14:textId="77777777" w:rsidR="00540F00" w:rsidRDefault="00540F00">
                  <w:pPr>
                    <w:pStyle w:val="BodyText"/>
                    <w:spacing w:before="223" w:line="264" w:lineRule="auto"/>
                    <w:rPr>
                      <w:rFonts w:ascii="Arial" w:hAnsi="Arial" w:cs="Arial"/>
                      <w:sz w:val="22"/>
                      <w:szCs w:val="22"/>
                    </w:rPr>
                  </w:pPr>
                  <w:r>
                    <w:rPr>
                      <w:rFonts w:ascii="Arial" w:hAnsi="Arial" w:cs="Arial"/>
                      <w:sz w:val="22"/>
                      <w:szCs w:val="22"/>
                    </w:rPr>
                    <w:t>6.2%</w:t>
                  </w:r>
                </w:p>
              </w:tc>
            </w:tr>
          </w:tbl>
          <w:p w14:paraId="455C2BB1" w14:textId="77777777" w:rsidR="00540F00" w:rsidRDefault="00540F00" w:rsidP="00540F00">
            <w:pPr>
              <w:pStyle w:val="ListParagraph"/>
              <w:numPr>
                <w:ilvl w:val="0"/>
                <w:numId w:val="69"/>
              </w:numPr>
              <w:spacing w:before="223" w:after="0" w:line="264" w:lineRule="auto"/>
              <w:rPr>
                <w:rFonts w:ascii="Arial" w:hAnsi="Arial" w:cs="Arial"/>
              </w:rPr>
            </w:pPr>
            <w:r>
              <w:rPr>
                <w:rFonts w:ascii="Arial" w:eastAsia="Times New Roman" w:hAnsi="Arial" w:cs="Arial"/>
              </w:rPr>
              <w:t>We also completed an analysis of the turnaround times for PA requests to be issued either an approval or denial. On average, the turnaround time for MH/SUD drugs was less than 1 day.</w:t>
            </w:r>
          </w:p>
          <w:p w14:paraId="7C0510F8" w14:textId="77777777" w:rsidR="00540F00" w:rsidRDefault="00540F00">
            <w:pPr>
              <w:pStyle w:val="ListParagraph"/>
              <w:spacing w:before="223" w:line="264" w:lineRule="auto"/>
              <w:rPr>
                <w:rFonts w:ascii="Arial" w:hAnsi="Arial" w:cs="Arial"/>
              </w:rPr>
            </w:pPr>
          </w:p>
          <w:p w14:paraId="6968FAF8" w14:textId="77777777" w:rsidR="00540F00" w:rsidRDefault="00540F00" w:rsidP="00540F00">
            <w:pPr>
              <w:pStyle w:val="ListParagraph"/>
              <w:numPr>
                <w:ilvl w:val="0"/>
                <w:numId w:val="69"/>
              </w:numPr>
              <w:spacing w:after="0" w:line="240" w:lineRule="auto"/>
              <w:rPr>
                <w:rFonts w:ascii="Arial" w:eastAsia="Times New Roman" w:hAnsi="Arial" w:cs="Arial"/>
              </w:rPr>
            </w:pPr>
            <w:r>
              <w:rPr>
                <w:rFonts w:ascii="Arial" w:hAnsi="Arial" w:cs="Arial"/>
              </w:rPr>
              <w:t xml:space="preserve">We also completed an analysis of denial rates for requests for Prior Authorization in calendar year 2022. Results can be seen in the table below. Most recent Interrater reliability results for reviews performed were 90.53% for MH/SUD reviews. </w:t>
            </w:r>
          </w:p>
          <w:p w14:paraId="7B70E61D" w14:textId="77777777" w:rsidR="00540F00" w:rsidRDefault="00540F00">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1828"/>
              <w:gridCol w:w="1360"/>
            </w:tblGrid>
            <w:tr w:rsidR="00540F00" w14:paraId="6318510F"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3538E790" w14:textId="77777777" w:rsidR="00540F00" w:rsidRDefault="00540F00">
                  <w:pPr>
                    <w:pStyle w:val="ListParagraph"/>
                    <w:ind w:left="0"/>
                    <w:jc w:val="center"/>
                    <w:rPr>
                      <w:rFonts w:ascii="Arial" w:eastAsia="Times New Roman" w:hAnsi="Arial" w:cs="Arial"/>
                    </w:rPr>
                  </w:pPr>
                  <w:r>
                    <w:rPr>
                      <w:rFonts w:ascii="Arial" w:eastAsia="Times New Roman" w:hAnsi="Arial" w:cs="Arial"/>
                    </w:rPr>
                    <w:t>Global MH/SUD PA Analysis</w:t>
                  </w:r>
                </w:p>
              </w:tc>
            </w:tr>
            <w:tr w:rsidR="00540F00" w14:paraId="36409B77" w14:textId="77777777">
              <w:tc>
                <w:tcPr>
                  <w:tcW w:w="4390" w:type="dxa"/>
                  <w:tcBorders>
                    <w:top w:val="single" w:sz="4" w:space="0" w:color="auto"/>
                    <w:left w:val="single" w:sz="4" w:space="0" w:color="auto"/>
                    <w:bottom w:val="single" w:sz="4" w:space="0" w:color="auto"/>
                    <w:right w:val="single" w:sz="4" w:space="0" w:color="auto"/>
                  </w:tcBorders>
                  <w:hideMark/>
                </w:tcPr>
                <w:p w14:paraId="36EA8CCF" w14:textId="77777777" w:rsidR="00540F00" w:rsidRDefault="00540F00">
                  <w:pPr>
                    <w:pStyle w:val="ListParagraph"/>
                    <w:ind w:left="0"/>
                    <w:rPr>
                      <w:rFonts w:ascii="Arial" w:eastAsia="Times New Roman" w:hAnsi="Arial" w:cs="Arial"/>
                    </w:rPr>
                  </w:pPr>
                  <w:r>
                    <w:rPr>
                      <w:rFonts w:ascii="Arial" w:eastAsia="Times New Roman" w:hAnsi="Arial" w:cs="Arial"/>
                    </w:rPr>
                    <w:t>Total PA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F28AB4D" w14:textId="77777777" w:rsidR="00540F00" w:rsidRDefault="00540F00">
                  <w:pPr>
                    <w:pStyle w:val="ListParagraph"/>
                    <w:ind w:left="0"/>
                    <w:jc w:val="center"/>
                    <w:rPr>
                      <w:rFonts w:ascii="Arial" w:eastAsia="Times New Roman" w:hAnsi="Arial" w:cs="Arial"/>
                    </w:rPr>
                  </w:pPr>
                  <w:r>
                    <w:rPr>
                      <w:rFonts w:ascii="Arial" w:eastAsia="Times New Roman" w:hAnsi="Arial" w:cs="Arial"/>
                    </w:rPr>
                    <w:t>247</w:t>
                  </w:r>
                </w:p>
              </w:tc>
            </w:tr>
            <w:tr w:rsidR="00540F00" w14:paraId="1A255C60" w14:textId="77777777">
              <w:tc>
                <w:tcPr>
                  <w:tcW w:w="4390" w:type="dxa"/>
                  <w:tcBorders>
                    <w:top w:val="single" w:sz="4" w:space="0" w:color="auto"/>
                    <w:left w:val="single" w:sz="4" w:space="0" w:color="auto"/>
                    <w:bottom w:val="single" w:sz="4" w:space="0" w:color="auto"/>
                    <w:right w:val="single" w:sz="4" w:space="0" w:color="auto"/>
                  </w:tcBorders>
                  <w:hideMark/>
                </w:tcPr>
                <w:p w14:paraId="6798ECAF" w14:textId="77777777" w:rsidR="00540F00" w:rsidRDefault="00540F00">
                  <w:pPr>
                    <w:pStyle w:val="ListParagraph"/>
                    <w:ind w:left="0"/>
                    <w:rPr>
                      <w:rFonts w:ascii="Arial" w:eastAsia="Times New Roman" w:hAnsi="Arial" w:cs="Arial"/>
                    </w:rPr>
                  </w:pPr>
                  <w:r>
                    <w:rPr>
                      <w:rFonts w:ascii="Arial" w:eastAsia="Times New Roman" w:hAnsi="Arial" w:cs="Arial"/>
                    </w:rPr>
                    <w:t>Total PA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70BCE836" w14:textId="77777777" w:rsidR="00540F00" w:rsidRDefault="00540F00">
                  <w:pPr>
                    <w:pStyle w:val="ListParagraph"/>
                    <w:ind w:left="0"/>
                    <w:jc w:val="center"/>
                    <w:rPr>
                      <w:rFonts w:ascii="Arial" w:eastAsia="Times New Roman" w:hAnsi="Arial" w:cs="Arial"/>
                    </w:rPr>
                  </w:pPr>
                  <w:r>
                    <w:rPr>
                      <w:rFonts w:ascii="Arial" w:eastAsia="Times New Roman" w:hAnsi="Arial" w:cs="Arial"/>
                    </w:rPr>
                    <w:t>205</w:t>
                  </w:r>
                </w:p>
              </w:tc>
            </w:tr>
            <w:tr w:rsidR="00540F00" w14:paraId="346A2B44" w14:textId="77777777">
              <w:tc>
                <w:tcPr>
                  <w:tcW w:w="4390" w:type="dxa"/>
                  <w:tcBorders>
                    <w:top w:val="single" w:sz="4" w:space="0" w:color="auto"/>
                    <w:left w:val="single" w:sz="4" w:space="0" w:color="auto"/>
                    <w:bottom w:val="single" w:sz="4" w:space="0" w:color="auto"/>
                    <w:right w:val="single" w:sz="4" w:space="0" w:color="auto"/>
                  </w:tcBorders>
                  <w:hideMark/>
                </w:tcPr>
                <w:p w14:paraId="265592FD" w14:textId="77777777" w:rsidR="00540F00" w:rsidRDefault="00540F00">
                  <w:pPr>
                    <w:pStyle w:val="ListParagraph"/>
                    <w:ind w:left="0"/>
                    <w:rPr>
                      <w:rFonts w:ascii="Arial" w:eastAsia="Times New Roman" w:hAnsi="Arial" w:cs="Arial"/>
                    </w:rPr>
                  </w:pPr>
                  <w:r>
                    <w:rPr>
                      <w:rFonts w:ascii="Arial" w:eastAsia="Times New Roman" w:hAnsi="Arial" w:cs="Arial"/>
                    </w:rPr>
                    <w:t>Total PA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3BF4ABA8" w14:textId="77777777" w:rsidR="00540F00" w:rsidRDefault="00540F00">
                  <w:pPr>
                    <w:pStyle w:val="ListParagraph"/>
                    <w:ind w:left="0"/>
                    <w:jc w:val="center"/>
                    <w:rPr>
                      <w:rFonts w:ascii="Arial" w:eastAsia="Times New Roman" w:hAnsi="Arial" w:cs="Arial"/>
                    </w:rPr>
                  </w:pPr>
                  <w:r>
                    <w:rPr>
                      <w:rFonts w:ascii="Arial" w:eastAsia="Times New Roman" w:hAnsi="Arial" w:cs="Arial"/>
                    </w:rPr>
                    <w:t>42</w:t>
                  </w:r>
                </w:p>
              </w:tc>
            </w:tr>
            <w:tr w:rsidR="00540F00" w14:paraId="6219BF8E" w14:textId="77777777">
              <w:tc>
                <w:tcPr>
                  <w:tcW w:w="4390" w:type="dxa"/>
                  <w:tcBorders>
                    <w:top w:val="single" w:sz="4" w:space="0" w:color="auto"/>
                    <w:left w:val="single" w:sz="4" w:space="0" w:color="auto"/>
                    <w:bottom w:val="single" w:sz="4" w:space="0" w:color="auto"/>
                    <w:right w:val="single" w:sz="4" w:space="0" w:color="auto"/>
                  </w:tcBorders>
                  <w:hideMark/>
                </w:tcPr>
                <w:p w14:paraId="680AA45F" w14:textId="77777777" w:rsidR="00540F00" w:rsidRDefault="00540F00">
                  <w:pPr>
                    <w:pStyle w:val="ListParagraph"/>
                    <w:ind w:left="0"/>
                    <w:rPr>
                      <w:rFonts w:ascii="Arial" w:eastAsia="Times New Roman" w:hAnsi="Arial" w:cs="Arial"/>
                    </w:rPr>
                  </w:pPr>
                  <w:r>
                    <w:rPr>
                      <w:rFonts w:ascii="Arial" w:eastAsia="Times New Roman" w:hAnsi="Arial" w:cs="Arial"/>
                    </w:rPr>
                    <w:t>PA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7B50B417" w14:textId="77777777" w:rsidR="00540F00" w:rsidRDefault="00540F00">
                  <w:pPr>
                    <w:pStyle w:val="ListParagraph"/>
                    <w:ind w:left="0"/>
                    <w:jc w:val="center"/>
                    <w:rPr>
                      <w:rFonts w:ascii="Arial" w:eastAsia="Times New Roman" w:hAnsi="Arial" w:cs="Arial"/>
                    </w:rPr>
                  </w:pPr>
                  <w:r>
                    <w:rPr>
                      <w:rFonts w:ascii="Arial" w:eastAsia="Times New Roman" w:hAnsi="Arial" w:cs="Arial"/>
                    </w:rPr>
                    <w:t>83%</w:t>
                  </w:r>
                </w:p>
              </w:tc>
            </w:tr>
            <w:tr w:rsidR="00540F00" w14:paraId="07A6F626" w14:textId="77777777">
              <w:tc>
                <w:tcPr>
                  <w:tcW w:w="4390" w:type="dxa"/>
                  <w:tcBorders>
                    <w:top w:val="single" w:sz="4" w:space="0" w:color="auto"/>
                    <w:left w:val="single" w:sz="4" w:space="0" w:color="auto"/>
                    <w:bottom w:val="single" w:sz="4" w:space="0" w:color="auto"/>
                    <w:right w:val="single" w:sz="4" w:space="0" w:color="auto"/>
                  </w:tcBorders>
                  <w:hideMark/>
                </w:tcPr>
                <w:p w14:paraId="10D68554" w14:textId="77777777" w:rsidR="00540F00" w:rsidRDefault="00540F00">
                  <w:pPr>
                    <w:pStyle w:val="ListParagraph"/>
                    <w:ind w:left="0"/>
                    <w:rPr>
                      <w:rFonts w:ascii="Arial" w:eastAsia="Times New Roman" w:hAnsi="Arial" w:cs="Arial"/>
                    </w:rPr>
                  </w:pPr>
                  <w:r>
                    <w:rPr>
                      <w:rFonts w:ascii="Arial" w:eastAsia="Times New Roman" w:hAnsi="Arial" w:cs="Arial"/>
                    </w:rPr>
                    <w:t>PA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10C599B9" w14:textId="77777777" w:rsidR="00540F00" w:rsidRDefault="00540F00">
                  <w:pPr>
                    <w:pStyle w:val="ListParagraph"/>
                    <w:ind w:left="0"/>
                    <w:jc w:val="center"/>
                    <w:rPr>
                      <w:rFonts w:ascii="Arial" w:eastAsia="Times New Roman" w:hAnsi="Arial" w:cs="Arial"/>
                    </w:rPr>
                  </w:pPr>
                  <w:r>
                    <w:rPr>
                      <w:rFonts w:ascii="Arial" w:eastAsia="Times New Roman" w:hAnsi="Arial" w:cs="Arial"/>
                    </w:rPr>
                    <w:t>17%</w:t>
                  </w:r>
                </w:p>
              </w:tc>
            </w:tr>
          </w:tbl>
          <w:p w14:paraId="7A685F1C" w14:textId="77777777" w:rsidR="00540F00" w:rsidRDefault="00540F00">
            <w:pPr>
              <w:rPr>
                <w:rFonts w:ascii="Arial" w:eastAsia="Times New Roman" w:hAnsi="Arial" w:cs="Arial"/>
              </w:rPr>
            </w:pPr>
          </w:p>
          <w:tbl>
            <w:tblPr>
              <w:tblStyle w:val="TableGrid"/>
              <w:tblW w:w="0" w:type="auto"/>
              <w:tblInd w:w="720" w:type="dxa"/>
              <w:tblLook w:val="04A0" w:firstRow="1" w:lastRow="0" w:firstColumn="1" w:lastColumn="0" w:noHBand="0" w:noVBand="1"/>
            </w:tblPr>
            <w:tblGrid>
              <w:gridCol w:w="1856"/>
              <w:gridCol w:w="1332"/>
            </w:tblGrid>
            <w:tr w:rsidR="00540F00" w14:paraId="427C9E55" w14:textId="77777777" w:rsidTr="00540F00">
              <w:tc>
                <w:tcPr>
                  <w:tcW w:w="3188" w:type="dxa"/>
                  <w:gridSpan w:val="2"/>
                  <w:tcBorders>
                    <w:top w:val="single" w:sz="4" w:space="0" w:color="auto"/>
                    <w:left w:val="single" w:sz="4" w:space="0" w:color="auto"/>
                    <w:bottom w:val="single" w:sz="4" w:space="0" w:color="auto"/>
                    <w:right w:val="single" w:sz="4" w:space="0" w:color="auto"/>
                  </w:tcBorders>
                  <w:hideMark/>
                </w:tcPr>
                <w:p w14:paraId="1EA8882B" w14:textId="77777777" w:rsidR="00540F00" w:rsidRDefault="00540F00">
                  <w:pPr>
                    <w:pStyle w:val="ListParagraph"/>
                    <w:ind w:left="0"/>
                    <w:jc w:val="center"/>
                    <w:rPr>
                      <w:rFonts w:ascii="Arial" w:eastAsia="Times New Roman" w:hAnsi="Arial" w:cs="Arial"/>
                    </w:rPr>
                  </w:pPr>
                  <w:r>
                    <w:rPr>
                      <w:rFonts w:ascii="Arial" w:eastAsia="Times New Roman" w:hAnsi="Arial" w:cs="Arial"/>
                    </w:rPr>
                    <w:t>MD MH/SUD PA Analysis</w:t>
                  </w:r>
                </w:p>
              </w:tc>
            </w:tr>
            <w:tr w:rsidR="00540F00" w14:paraId="5F0293B9" w14:textId="77777777" w:rsidTr="00540F00">
              <w:tc>
                <w:tcPr>
                  <w:tcW w:w="1856" w:type="dxa"/>
                  <w:tcBorders>
                    <w:top w:val="single" w:sz="4" w:space="0" w:color="auto"/>
                    <w:left w:val="single" w:sz="4" w:space="0" w:color="auto"/>
                    <w:bottom w:val="single" w:sz="4" w:space="0" w:color="auto"/>
                    <w:right w:val="single" w:sz="4" w:space="0" w:color="auto"/>
                  </w:tcBorders>
                  <w:hideMark/>
                </w:tcPr>
                <w:p w14:paraId="41D2EC02" w14:textId="77777777" w:rsidR="00540F00" w:rsidRDefault="00540F00">
                  <w:pPr>
                    <w:pStyle w:val="ListParagraph"/>
                    <w:ind w:left="0"/>
                    <w:rPr>
                      <w:rFonts w:ascii="Arial" w:eastAsia="Times New Roman" w:hAnsi="Arial" w:cs="Arial"/>
                    </w:rPr>
                  </w:pPr>
                  <w:r>
                    <w:rPr>
                      <w:rFonts w:ascii="Arial" w:eastAsia="Times New Roman" w:hAnsi="Arial" w:cs="Arial"/>
                    </w:rPr>
                    <w:t>Total PA Requests</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3B4ED5B" w14:textId="77777777" w:rsidR="00540F00" w:rsidRDefault="00540F00">
                  <w:pPr>
                    <w:pStyle w:val="ListParagraph"/>
                    <w:ind w:left="0"/>
                    <w:jc w:val="center"/>
                    <w:rPr>
                      <w:rFonts w:ascii="Arial" w:eastAsia="Times New Roman" w:hAnsi="Arial" w:cs="Arial"/>
                    </w:rPr>
                  </w:pPr>
                  <w:r>
                    <w:rPr>
                      <w:rFonts w:ascii="Arial" w:eastAsia="Times New Roman" w:hAnsi="Arial" w:cs="Arial"/>
                    </w:rPr>
                    <w:t>0</w:t>
                  </w:r>
                </w:p>
              </w:tc>
            </w:tr>
            <w:tr w:rsidR="00540F00" w14:paraId="2B42C337" w14:textId="77777777" w:rsidTr="00540F00">
              <w:tc>
                <w:tcPr>
                  <w:tcW w:w="1856" w:type="dxa"/>
                  <w:tcBorders>
                    <w:top w:val="single" w:sz="4" w:space="0" w:color="auto"/>
                    <w:left w:val="single" w:sz="4" w:space="0" w:color="auto"/>
                    <w:bottom w:val="single" w:sz="4" w:space="0" w:color="auto"/>
                    <w:right w:val="single" w:sz="4" w:space="0" w:color="auto"/>
                  </w:tcBorders>
                  <w:hideMark/>
                </w:tcPr>
                <w:p w14:paraId="00EA0DFB" w14:textId="77777777" w:rsidR="00540F00" w:rsidRDefault="00540F00">
                  <w:pPr>
                    <w:pStyle w:val="ListParagraph"/>
                    <w:ind w:left="0"/>
                    <w:rPr>
                      <w:rFonts w:ascii="Arial" w:eastAsia="Times New Roman" w:hAnsi="Arial" w:cs="Arial"/>
                    </w:rPr>
                  </w:pPr>
                  <w:r>
                    <w:rPr>
                      <w:rFonts w:ascii="Arial" w:eastAsia="Times New Roman" w:hAnsi="Arial" w:cs="Arial"/>
                    </w:rPr>
                    <w:t>Total PA Approvals</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E270DA2" w14:textId="77777777" w:rsidR="00540F00" w:rsidRDefault="00540F00">
                  <w:pPr>
                    <w:pStyle w:val="ListParagraph"/>
                    <w:ind w:left="0"/>
                    <w:jc w:val="center"/>
                    <w:rPr>
                      <w:rFonts w:ascii="Arial" w:eastAsia="Times New Roman" w:hAnsi="Arial" w:cs="Arial"/>
                    </w:rPr>
                  </w:pPr>
                  <w:r>
                    <w:rPr>
                      <w:rFonts w:ascii="Arial" w:eastAsia="Times New Roman" w:hAnsi="Arial" w:cs="Arial"/>
                    </w:rPr>
                    <w:t>0</w:t>
                  </w:r>
                </w:p>
              </w:tc>
            </w:tr>
            <w:tr w:rsidR="00540F00" w14:paraId="633B457B" w14:textId="77777777" w:rsidTr="00540F00">
              <w:tc>
                <w:tcPr>
                  <w:tcW w:w="1856" w:type="dxa"/>
                  <w:tcBorders>
                    <w:top w:val="single" w:sz="4" w:space="0" w:color="auto"/>
                    <w:left w:val="single" w:sz="4" w:space="0" w:color="auto"/>
                    <w:bottom w:val="single" w:sz="4" w:space="0" w:color="auto"/>
                    <w:right w:val="single" w:sz="4" w:space="0" w:color="auto"/>
                  </w:tcBorders>
                  <w:hideMark/>
                </w:tcPr>
                <w:p w14:paraId="3B47DF46" w14:textId="77777777" w:rsidR="00540F00" w:rsidRDefault="00540F00">
                  <w:pPr>
                    <w:pStyle w:val="ListParagraph"/>
                    <w:ind w:left="0"/>
                    <w:rPr>
                      <w:rFonts w:ascii="Arial" w:eastAsia="Times New Roman" w:hAnsi="Arial" w:cs="Arial"/>
                    </w:rPr>
                  </w:pPr>
                  <w:r>
                    <w:rPr>
                      <w:rFonts w:ascii="Arial" w:eastAsia="Times New Roman" w:hAnsi="Arial" w:cs="Arial"/>
                    </w:rPr>
                    <w:t>Total PA Denials</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F4D4ACC" w14:textId="77777777" w:rsidR="00540F00" w:rsidRDefault="00540F00">
                  <w:pPr>
                    <w:pStyle w:val="ListParagraph"/>
                    <w:ind w:left="0"/>
                    <w:jc w:val="center"/>
                    <w:rPr>
                      <w:rFonts w:ascii="Arial" w:eastAsia="Times New Roman" w:hAnsi="Arial" w:cs="Arial"/>
                    </w:rPr>
                  </w:pPr>
                  <w:r>
                    <w:rPr>
                      <w:rFonts w:ascii="Arial" w:eastAsia="Times New Roman" w:hAnsi="Arial" w:cs="Arial"/>
                    </w:rPr>
                    <w:t>0</w:t>
                  </w:r>
                </w:p>
              </w:tc>
            </w:tr>
            <w:tr w:rsidR="00540F00" w14:paraId="49D5326F" w14:textId="77777777" w:rsidTr="00540F00">
              <w:tc>
                <w:tcPr>
                  <w:tcW w:w="1856" w:type="dxa"/>
                  <w:tcBorders>
                    <w:top w:val="single" w:sz="4" w:space="0" w:color="auto"/>
                    <w:left w:val="single" w:sz="4" w:space="0" w:color="auto"/>
                    <w:bottom w:val="single" w:sz="4" w:space="0" w:color="auto"/>
                    <w:right w:val="single" w:sz="4" w:space="0" w:color="auto"/>
                  </w:tcBorders>
                  <w:hideMark/>
                </w:tcPr>
                <w:p w14:paraId="73E5638F" w14:textId="77777777" w:rsidR="00540F00" w:rsidRDefault="00540F00">
                  <w:pPr>
                    <w:pStyle w:val="ListParagraph"/>
                    <w:ind w:left="0"/>
                    <w:rPr>
                      <w:rFonts w:ascii="Arial" w:eastAsia="Times New Roman" w:hAnsi="Arial" w:cs="Arial"/>
                    </w:rPr>
                  </w:pPr>
                  <w:r>
                    <w:rPr>
                      <w:rFonts w:ascii="Arial" w:eastAsia="Times New Roman" w:hAnsi="Arial" w:cs="Arial"/>
                    </w:rPr>
                    <w:t>PA Approval Rate</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2296A06" w14:textId="77777777" w:rsidR="00540F00" w:rsidRDefault="00540F00">
                  <w:pPr>
                    <w:pStyle w:val="ListParagraph"/>
                    <w:ind w:left="0"/>
                    <w:jc w:val="center"/>
                    <w:rPr>
                      <w:rFonts w:ascii="Arial" w:eastAsia="Times New Roman" w:hAnsi="Arial" w:cs="Arial"/>
                    </w:rPr>
                  </w:pPr>
                  <w:r>
                    <w:rPr>
                      <w:rFonts w:ascii="Arial" w:eastAsia="Times New Roman" w:hAnsi="Arial" w:cs="Arial"/>
                    </w:rPr>
                    <w:t>N/A</w:t>
                  </w:r>
                </w:p>
              </w:tc>
            </w:tr>
            <w:tr w:rsidR="00540F00" w14:paraId="5B094385" w14:textId="77777777" w:rsidTr="00540F00">
              <w:tc>
                <w:tcPr>
                  <w:tcW w:w="1856" w:type="dxa"/>
                  <w:tcBorders>
                    <w:top w:val="single" w:sz="4" w:space="0" w:color="auto"/>
                    <w:left w:val="single" w:sz="4" w:space="0" w:color="auto"/>
                    <w:bottom w:val="single" w:sz="4" w:space="0" w:color="auto"/>
                    <w:right w:val="single" w:sz="4" w:space="0" w:color="auto"/>
                  </w:tcBorders>
                  <w:hideMark/>
                </w:tcPr>
                <w:p w14:paraId="12FCA664" w14:textId="77777777" w:rsidR="00540F00" w:rsidRDefault="00540F00">
                  <w:pPr>
                    <w:pStyle w:val="ListParagraph"/>
                    <w:ind w:left="0"/>
                    <w:rPr>
                      <w:rFonts w:ascii="Arial" w:eastAsia="Times New Roman" w:hAnsi="Arial" w:cs="Arial"/>
                    </w:rPr>
                  </w:pPr>
                  <w:r>
                    <w:rPr>
                      <w:rFonts w:ascii="Arial" w:eastAsia="Times New Roman" w:hAnsi="Arial" w:cs="Arial"/>
                    </w:rPr>
                    <w:t>PA Denial Rate</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1880A8C" w14:textId="77777777" w:rsidR="00540F00" w:rsidRDefault="00540F00">
                  <w:pPr>
                    <w:pStyle w:val="ListParagraph"/>
                    <w:ind w:left="0"/>
                    <w:jc w:val="center"/>
                    <w:rPr>
                      <w:rFonts w:ascii="Arial" w:eastAsia="Times New Roman" w:hAnsi="Arial" w:cs="Arial"/>
                    </w:rPr>
                  </w:pPr>
                  <w:r>
                    <w:rPr>
                      <w:rFonts w:ascii="Arial" w:eastAsia="Times New Roman" w:hAnsi="Arial" w:cs="Arial"/>
                    </w:rPr>
                    <w:t>N/A</w:t>
                  </w:r>
                </w:p>
              </w:tc>
            </w:tr>
          </w:tbl>
          <w:p w14:paraId="0D703B09" w14:textId="77777777" w:rsidR="00540F00" w:rsidRDefault="00540F00">
            <w:pPr>
              <w:rPr>
                <w:rFonts w:ascii="Arial" w:eastAsia="Times New Roman" w:hAnsi="Arial" w:cs="Arial"/>
              </w:rPr>
            </w:pPr>
          </w:p>
        </w:tc>
      </w:tr>
      <w:tr w:rsidR="00540F00" w14:paraId="72A6EC14" w14:textId="77777777" w:rsidTr="00540F00">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F36D1" w14:textId="77777777" w:rsidR="00540F00" w:rsidRDefault="00540F00">
            <w:pPr>
              <w:rPr>
                <w:rFonts w:ascii="Arial" w:eastAsia="Times New Roman" w:hAnsi="Arial" w:cs="Arial"/>
                <w:b/>
                <w:bCs/>
              </w:rPr>
            </w:pPr>
            <w:r>
              <w:rPr>
                <w:rFonts w:ascii="Arial" w:eastAsia="Times New Roman" w:hAnsi="Arial" w:cs="Arial"/>
                <w:b/>
                <w:bCs/>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tc>
      </w:tr>
      <w:tr w:rsidR="00540F00" w14:paraId="4BD4B178" w14:textId="77777777" w:rsidTr="00540F00">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08BBBAB9" w14:textId="77777777" w:rsidR="00540F00" w:rsidRDefault="00540F00">
            <w:pPr>
              <w:rPr>
                <w:rFonts w:ascii="Arial" w:hAnsi="Arial" w:cs="Arial"/>
              </w:rPr>
            </w:pPr>
            <w:bookmarkStart w:id="13" w:name="_Hlk115849725"/>
            <w:bookmarkEnd w:id="13"/>
            <w:r>
              <w:rPr>
                <w:rFonts w:ascii="Arial" w:eastAsia="Times New Roman" w:hAnsi="Arial" w:cs="Arial"/>
                <w:b/>
                <w:bCs/>
              </w:rPr>
              <w:t>As written:</w:t>
            </w:r>
            <w:r>
              <w:rPr>
                <w:rFonts w:ascii="Arial" w:eastAsia="Times New Roman" w:hAnsi="Arial" w:cs="Arial"/>
              </w:rPr>
              <w:t xml:space="preserve"> The process for creating a prior authorization policy for a drug is the same for both M/S and MH/SUD drugs.  </w:t>
            </w:r>
            <w:r>
              <w:rPr>
                <w:rFonts w:ascii="Arial" w:hAnsi="Arial" w:cs="Arial"/>
              </w:rPr>
              <w:t xml:space="preserve">The P&amp;T Policy &amp; Procedures and Formulary Management Policy are reviewed by Wellfleet’s Chief Medical Officer, Director of Clinical Programs, and Clinical Pharmacist, at least annually to ensure there is no verbiage indicating a bias towards any </w:t>
            </w:r>
            <w:proofErr w:type="gramStart"/>
            <w:r>
              <w:rPr>
                <w:rFonts w:ascii="Arial" w:hAnsi="Arial" w:cs="Arial"/>
              </w:rPr>
              <w:t>particular subset</w:t>
            </w:r>
            <w:proofErr w:type="gramEnd"/>
            <w:r>
              <w:rPr>
                <w:rFonts w:ascii="Arial" w:hAnsi="Arial" w:cs="Arial"/>
              </w:rPr>
              <w:t xml:space="preserve"> of drugs. These policies dictate that all decisions should be based </w:t>
            </w:r>
            <w:proofErr w:type="gramStart"/>
            <w:r>
              <w:rPr>
                <w:rFonts w:ascii="Arial" w:hAnsi="Arial" w:cs="Arial"/>
              </w:rPr>
              <w:t>off of</w:t>
            </w:r>
            <w:proofErr w:type="gramEnd"/>
            <w:r>
              <w:rPr>
                <w:rFonts w:ascii="Arial" w:hAnsi="Arial" w:cs="Arial"/>
              </w:rPr>
              <w:t xml:space="preserve"> the clinical merits of the drug, not the classification of </w:t>
            </w:r>
            <w:proofErr w:type="gramStart"/>
            <w:r>
              <w:rPr>
                <w:rFonts w:ascii="Arial" w:hAnsi="Arial" w:cs="Arial"/>
              </w:rPr>
              <w:t>drug</w:t>
            </w:r>
            <w:proofErr w:type="gramEnd"/>
            <w:r>
              <w:rPr>
                <w:rFonts w:ascii="Arial" w:hAnsi="Arial" w:cs="Arial"/>
              </w:rPr>
              <w:t xml:space="preserve"> itself. Prior authorization is imposed on drug products based on the factors presented previously for both classifications of drugs. </w:t>
            </w:r>
          </w:p>
          <w:p w14:paraId="326D130F" w14:textId="77777777" w:rsidR="00540F00" w:rsidRDefault="00540F00">
            <w:pPr>
              <w:rPr>
                <w:rFonts w:ascii="Arial" w:eastAsia="Times New Roman" w:hAnsi="Arial" w:cs="Arial"/>
              </w:rPr>
            </w:pPr>
            <w:r>
              <w:rPr>
                <w:rFonts w:ascii="Arial" w:hAnsi="Arial" w:cs="Arial"/>
              </w:rPr>
              <w:t xml:space="preserve">Prior authorization is imposed on drug products based on the factors presented in Steps 2 &amp;3 for both classifications of drugs. These include the </w:t>
            </w:r>
            <w:r>
              <w:rPr>
                <w:rFonts w:ascii="Arial" w:eastAsia="Times New Roman" w:hAnsi="Arial" w:cs="Arial"/>
              </w:rPr>
              <w:t xml:space="preserve">drug’s lack of adherence to quality standards, high variability in cost within drugs </w:t>
            </w:r>
            <w:proofErr w:type="gramStart"/>
            <w:r>
              <w:rPr>
                <w:rFonts w:ascii="Arial" w:eastAsia="Times New Roman" w:hAnsi="Arial" w:cs="Arial"/>
              </w:rPr>
              <w:t>in a given</w:t>
            </w:r>
            <w:proofErr w:type="gramEnd"/>
            <w:r>
              <w:rPr>
                <w:rFonts w:ascii="Arial" w:eastAsia="Times New Roman" w:hAnsi="Arial" w:cs="Arial"/>
              </w:rPr>
              <w:t xml:space="preserve"> therapeutic class, anticipated excessive utilization and member Impact.  Whether each factor is met is based upon defined evidentiary standards, which are based upon </w:t>
            </w:r>
            <w:r>
              <w:rPr>
                <w:rFonts w:ascii="Arial" w:hAnsi="Arial" w:cs="Arial"/>
                <w:bCs/>
              </w:rPr>
              <w:t xml:space="preserve">FDA Prescribing Information, professionally recognized treatment guidelines used to define clinically appropriate standards of care, nationally recognized Compendia - Truven Health Analytics Micromedex </w:t>
            </w:r>
            <w:proofErr w:type="spellStart"/>
            <w:r>
              <w:rPr>
                <w:rFonts w:ascii="Arial" w:hAnsi="Arial" w:cs="Arial"/>
                <w:bCs/>
              </w:rPr>
              <w:t>DrugDEX</w:t>
            </w:r>
            <w:proofErr w:type="spellEnd"/>
            <w:r>
              <w:rPr>
                <w:rFonts w:ascii="Arial" w:hAnsi="Arial" w:cs="Arial"/>
                <w:bCs/>
              </w:rPr>
              <w:t xml:space="preserve"> (</w:t>
            </w:r>
            <w:proofErr w:type="spellStart"/>
            <w:r>
              <w:rPr>
                <w:rFonts w:ascii="Arial" w:hAnsi="Arial" w:cs="Arial"/>
                <w:bCs/>
              </w:rPr>
              <w:t>DrugDEX</w:t>
            </w:r>
            <w:proofErr w:type="spellEnd"/>
            <w:r>
              <w:rPr>
                <w:rFonts w:ascii="Arial" w:hAnsi="Arial" w:cs="Arial"/>
                <w:bCs/>
              </w:rPr>
              <w:t xml:space="preserve">), peer-reviewed medical literature, </w:t>
            </w:r>
            <w:r>
              <w:rPr>
                <w:rFonts w:ascii="Arial" w:eastAsia="Times New Roman" w:hAnsi="Arial" w:cs="Arial"/>
                <w:bCs/>
              </w:rPr>
              <w:t>internal market and competitive analysis, therapeutic class total net cost analysis, ag</w:t>
            </w:r>
            <w:r>
              <w:rPr>
                <w:rFonts w:ascii="Arial" w:hAnsi="Arial" w:cs="Arial"/>
                <w:bCs/>
              </w:rPr>
              <w:t>gregated data or non-identifiable utilization reports, i</w:t>
            </w:r>
            <w:r>
              <w:rPr>
                <w:rFonts w:ascii="Arial" w:eastAsia="Times New Roman" w:hAnsi="Arial" w:cs="Arial"/>
              </w:rPr>
              <w:t>nternal claims data, internal market and competitive analysis. The factors, standards and sources for those standards are the same regardless of whether a drug is a M/S or MH/SUD drug.</w:t>
            </w:r>
          </w:p>
          <w:p w14:paraId="76098A2D" w14:textId="77777777" w:rsidR="00540F00" w:rsidRDefault="00540F00">
            <w:pPr>
              <w:rPr>
                <w:rFonts w:ascii="Arial" w:eastAsia="Times New Roman" w:hAnsi="Arial" w:cs="Arial"/>
                <w:bCs/>
              </w:rPr>
            </w:pPr>
            <w:r>
              <w:rPr>
                <w:rFonts w:ascii="Arial" w:eastAsia="Times New Roman" w:hAnsi="Arial" w:cs="Arial"/>
                <w:bCs/>
              </w:rPr>
              <w:t xml:space="preserve">Moreover, </w:t>
            </w:r>
            <w:r>
              <w:rPr>
                <w:rFonts w:ascii="Arial" w:eastAsia="Times New Roman" w:hAnsi="Arial" w:cs="Arial"/>
              </w:rPr>
              <w:t xml:space="preserve">a request for prior authorization is subject to the same review process for both M/S and MH/SUD drugs. Authorizations for both M/S and MHSUD drugs are valid for 365 days from approval. Approvals may be for a shorter duration if the FDA labeling guidelines have strict duration of therapy limits or monitoring requirements after initiation. Other exceptions are for products that have regulatory implications, which will be approved based on the regulatory statute. Appeals turnaround times are the same for all drugs and are dependent on federal and state regulations to ensure compliance.  </w:t>
            </w:r>
          </w:p>
          <w:p w14:paraId="0D689868" w14:textId="77777777" w:rsidR="00540F00" w:rsidRDefault="00540F00">
            <w:pPr>
              <w:rPr>
                <w:rFonts w:ascii="Arial" w:eastAsia="Times New Roman" w:hAnsi="Arial" w:cs="Arial"/>
              </w:rPr>
            </w:pPr>
            <w:r>
              <w:rPr>
                <w:rFonts w:ascii="Arial" w:eastAsia="Times New Roman" w:hAnsi="Arial" w:cs="Arial"/>
              </w:rPr>
              <w:t xml:space="preserve">Thus, we conclude that the processes, strategies, evidentiary standards, and other factors used to apply Prior Authorization to MH/SUD drugs, </w:t>
            </w:r>
            <w:r>
              <w:rPr>
                <w:rFonts w:ascii="Arial" w:eastAsia="Times New Roman" w:hAnsi="Arial" w:cs="Arial"/>
                <w:u w:val="single"/>
              </w:rPr>
              <w:t>as written</w:t>
            </w:r>
            <w:r>
              <w:rPr>
                <w:rFonts w:ascii="Arial" w:eastAsia="Times New Roman" w:hAnsi="Arial" w:cs="Arial"/>
              </w:rPr>
              <w:t>, are comparable to, and are applied no more stringently than, the processes, strategies, evidentiary standards, and other factors used to apply Prior Authorization to M/S drugs.</w:t>
            </w:r>
          </w:p>
          <w:p w14:paraId="4CB607BA" w14:textId="77777777" w:rsidR="00540F00" w:rsidRDefault="00540F00">
            <w:pPr>
              <w:rPr>
                <w:rFonts w:ascii="Arial" w:eastAsia="Times New Roman" w:hAnsi="Arial" w:cs="Arial"/>
              </w:rPr>
            </w:pPr>
            <w:r>
              <w:rPr>
                <w:rFonts w:ascii="Arial" w:eastAsia="Times New Roman" w:hAnsi="Arial" w:cs="Arial"/>
                <w:b/>
                <w:bCs/>
              </w:rPr>
              <w:t xml:space="preserve">In operation: </w:t>
            </w:r>
            <w:r>
              <w:rPr>
                <w:rFonts w:ascii="Arial" w:eastAsia="Times New Roman" w:hAnsi="Arial" w:cs="Arial"/>
              </w:rPr>
              <w:t>In operation, the percentage of MH/SUD drugs requiring prior authorization (6.2%) is much lower than the percentage of M/S drugs requiring prior authorization (20%). The denial rate for MH/SUD drug requests (0% ; or N/A) is the same as the denial rate for M/S drug requests (0%). The virtual absence of appeals for MH/SUD drugs and M/S drugs indicates that benefit determinations and denials for MH/SUD drugs are in fact performed in a manner that is equally as stringent as determinations and denials for M/S drugs. Given that the same reviewers are used for both MH/SUD and M/S drug requests, IRR scores cannot be differentiated for comparative purposes, but the very high score averages (each above 90%) also suggest that reviews are consistent across all requests.</w:t>
            </w:r>
          </w:p>
          <w:p w14:paraId="5E514C4D" w14:textId="77777777" w:rsidR="00540F00" w:rsidRDefault="00540F00">
            <w:pPr>
              <w:rPr>
                <w:rFonts w:ascii="Arial" w:eastAsia="Times New Roman" w:hAnsi="Arial" w:cs="Arial"/>
              </w:rPr>
            </w:pPr>
            <w:r>
              <w:rPr>
                <w:rFonts w:ascii="Arial" w:eastAsia="Times New Roman" w:hAnsi="Arial" w:cs="Arial"/>
              </w:rPr>
              <w:t xml:space="preserve">Thus, we conclude that the processes, strategies, evidentiary standards, and other factors used to apply Prior Authorization to MH/SUD drugs, </w:t>
            </w:r>
            <w:r>
              <w:rPr>
                <w:rFonts w:ascii="Arial" w:eastAsia="Times New Roman" w:hAnsi="Arial" w:cs="Arial"/>
                <w:u w:val="single"/>
              </w:rPr>
              <w:t>in operation</w:t>
            </w:r>
            <w:r>
              <w:rPr>
                <w:rFonts w:ascii="Arial" w:eastAsia="Times New Roman" w:hAnsi="Arial" w:cs="Arial"/>
              </w:rPr>
              <w:t>, are comparable to, and are applied no more stringently than, the processes, strategies, evidentiary standards, and other factors used to apply Prior Authorization to M/S drugs.</w:t>
            </w:r>
          </w:p>
          <w:p w14:paraId="5AE9865E" w14:textId="77777777" w:rsidR="00540F00" w:rsidRDefault="00540F00">
            <w:pPr>
              <w:ind w:right="216"/>
              <w:jc w:val="both"/>
              <w:textAlignment w:val="baseline"/>
              <w:rPr>
                <w:rFonts w:ascii="Arial" w:eastAsia="Arial" w:hAnsi="Arial" w:cs="Arial"/>
              </w:rPr>
            </w:pPr>
            <w:r>
              <w:rPr>
                <w:rFonts w:ascii="Arial" w:eastAsia="Arial" w:hAnsi="Arial" w:cs="Arial"/>
                <w:b/>
                <w:bCs/>
              </w:rPr>
              <w:t>Conclusion</w:t>
            </w:r>
            <w:r>
              <w:rPr>
                <w:rFonts w:ascii="Arial" w:eastAsia="Arial" w:hAnsi="Arial" w:cs="Arial"/>
              </w:rPr>
              <w:t>: Wellfleet has determined that PA is applied for MH/SUD drugs in a manner that is comparable to and no more stringent than that of M/S drugs, both as written and in operation, based on the information presented above that describes in detail the evidentiary standards, processes, strategies, and factors used to impose PA.</w:t>
            </w:r>
          </w:p>
        </w:tc>
        <w:bookmarkEnd w:id="12"/>
      </w:tr>
    </w:tbl>
    <w:p w14:paraId="52B0C0C9" w14:textId="77777777" w:rsidR="00540F00" w:rsidRPr="00D61E32" w:rsidRDefault="00540F00" w:rsidP="00CE4315">
      <w:pPr>
        <w:rPr>
          <w:rFonts w:ascii="Century Gothic" w:hAnsi="Century Gothic" w:cs="Times New Roman"/>
          <w:b/>
          <w:u w:val="single"/>
        </w:rPr>
      </w:pPr>
    </w:p>
    <w:p w14:paraId="312F61BF" w14:textId="5594F8DB" w:rsidR="00300B1E" w:rsidRPr="00D61E32" w:rsidRDefault="00D36D15" w:rsidP="001625EC">
      <w:pPr>
        <w:pStyle w:val="ListParagraph"/>
        <w:numPr>
          <w:ilvl w:val="0"/>
          <w:numId w:val="3"/>
        </w:numPr>
        <w:rPr>
          <w:rFonts w:ascii="Century Gothic" w:hAnsi="Century Gothic" w:cs="Times New Roman"/>
          <w:b/>
          <w:u w:val="single"/>
        </w:rPr>
      </w:pPr>
      <w:r w:rsidRPr="00D61E32">
        <w:rPr>
          <w:rFonts w:ascii="Century Gothic" w:hAnsi="Century Gothic" w:cs="Times New Roman"/>
          <w:b/>
          <w:u w:val="single"/>
        </w:rPr>
        <w:t>Concurrent Review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625EC" w:rsidRPr="00D61E32" w14:paraId="6EE7E70B" w14:textId="77777777" w:rsidTr="00E70A33">
        <w:trPr>
          <w:trHeight w:val="386"/>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0A36DF"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NQTL: Concurrent Review</w:t>
            </w:r>
          </w:p>
        </w:tc>
      </w:tr>
      <w:tr w:rsidR="001625EC" w:rsidRPr="00D61E32" w14:paraId="3E6DC611" w14:textId="77777777" w:rsidTr="001625EC">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978FA0"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Classification(s):  Inpatient In-Network, Inpatient Out-Of-Network</w:t>
            </w:r>
          </w:p>
        </w:tc>
      </w:tr>
      <w:tr w:rsidR="001625EC" w:rsidRPr="00D61E32" w14:paraId="7FE6291E" w14:textId="77777777" w:rsidTr="001625EC">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444F5"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Step 1 – Identify the specific plan or coverage terms or other relevant terms regarding Concurrent Review and a description of all mental health or substance use disorder and medical or surgical benefits to which each such term applies in each respective benefits classification</w:t>
            </w:r>
          </w:p>
        </w:tc>
      </w:tr>
      <w:tr w:rsidR="001625EC" w:rsidRPr="00D61E32" w14:paraId="75032DFB" w14:textId="77777777" w:rsidTr="001625EC">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75D706EB" w14:textId="4A48E80A" w:rsidR="001625EC" w:rsidRPr="00D61E32" w:rsidRDefault="001625EC">
            <w:pPr>
              <w:rPr>
                <w:rFonts w:ascii="Century Gothic" w:eastAsia="Times New Roman" w:hAnsi="Century Gothic" w:cs="Arial"/>
                <w:bCs/>
              </w:rPr>
            </w:pPr>
            <w:r w:rsidRPr="00D61E32">
              <w:rPr>
                <w:rFonts w:ascii="Century Gothic" w:eastAsia="Times New Roman" w:hAnsi="Century Gothic" w:cs="Arial"/>
                <w:b/>
                <w:bCs/>
                <w:i/>
              </w:rPr>
              <w:t>Step 1(a): Provide a clear description of the specific NQTL, plan terms, and policies at issue</w:t>
            </w:r>
            <w:r w:rsidRPr="00D61E32">
              <w:rPr>
                <w:rFonts w:ascii="Century Gothic" w:eastAsia="Times New Roman" w:hAnsi="Century Gothic" w:cs="Arial"/>
                <w:bCs/>
              </w:rPr>
              <w:t>:</w:t>
            </w:r>
            <w:r w:rsidRPr="00D61E32">
              <w:rPr>
                <w:rStyle w:val="FootnoteReference"/>
                <w:rFonts w:ascii="Century Gothic" w:eastAsia="Times New Roman" w:hAnsi="Century Gothic" w:cs="Arial"/>
                <w:bCs/>
              </w:rPr>
              <w:footnoteReference w:id="27"/>
            </w:r>
            <w:r w:rsidRPr="00D61E32">
              <w:rPr>
                <w:rFonts w:ascii="Century Gothic" w:eastAsia="Times New Roman" w:hAnsi="Century Gothic" w:cs="Arial"/>
                <w:bCs/>
              </w:rPr>
              <w:t xml:space="preserve"> </w:t>
            </w:r>
          </w:p>
          <w:p w14:paraId="638E24A9" w14:textId="3D8C26F3" w:rsidR="001625EC" w:rsidRPr="00E70A33" w:rsidRDefault="001625EC" w:rsidP="00E70A33">
            <w:pPr>
              <w:rPr>
                <w:rFonts w:ascii="Century Gothic" w:eastAsia="Times New Roman" w:hAnsi="Century Gothic" w:cs="Arial"/>
              </w:rPr>
            </w:pPr>
            <w:r w:rsidRPr="00D61E32">
              <w:rPr>
                <w:rFonts w:ascii="Century Gothic" w:eastAsia="Times New Roman" w:hAnsi="Century Gothic" w:cs="Arial"/>
              </w:rPr>
              <w:t xml:space="preserve">Concurrent Review is a decision made </w:t>
            </w:r>
            <w:proofErr w:type="gramStart"/>
            <w:r w:rsidRPr="00D61E32">
              <w:rPr>
                <w:rFonts w:ascii="Century Gothic" w:eastAsia="Times New Roman" w:hAnsi="Century Gothic" w:cs="Arial"/>
              </w:rPr>
              <w:t>during the course of</w:t>
            </w:r>
            <w:proofErr w:type="gramEnd"/>
            <w:r w:rsidRPr="00D61E32">
              <w:rPr>
                <w:rFonts w:ascii="Century Gothic" w:eastAsia="Times New Roman" w:hAnsi="Century Gothic" w:cs="Arial"/>
              </w:rPr>
              <w:t xml:space="preserve"> care that the Covered Services are Medically Necessary.</w:t>
            </w:r>
          </w:p>
          <w:p w14:paraId="1E065BF9" w14:textId="0711650A" w:rsidR="001625EC" w:rsidRPr="00E70A33" w:rsidRDefault="001625EC" w:rsidP="00E70A33">
            <w:pPr>
              <w:rPr>
                <w:rFonts w:ascii="Century Gothic" w:eastAsia="Times New Roman" w:hAnsi="Century Gothic" w:cs="Arial"/>
              </w:rPr>
            </w:pPr>
            <w:r w:rsidRPr="00D61E32">
              <w:rPr>
                <w:rFonts w:ascii="Century Gothic" w:eastAsia="Times New Roman" w:hAnsi="Century Gothic" w:cs="Arial"/>
              </w:rPr>
              <w:t xml:space="preserve">Wellfleet delegates its non-Pharmacy Utilization Management to Cigna. Cigna is responsible for determining which non-Pharmacy benefits are eligible for Concurrent Review. As such, Cigna’s utilization management policies are used to determine Concurrent Review factors, </w:t>
            </w:r>
            <w:proofErr w:type="gramStart"/>
            <w:r w:rsidRPr="00D61E32">
              <w:rPr>
                <w:rFonts w:ascii="Century Gothic" w:eastAsia="Times New Roman" w:hAnsi="Century Gothic" w:cs="Arial"/>
              </w:rPr>
              <w:t>sources</w:t>
            </w:r>
            <w:proofErr w:type="gramEnd"/>
            <w:r w:rsidRPr="00D61E32">
              <w:rPr>
                <w:rFonts w:ascii="Century Gothic" w:eastAsia="Times New Roman" w:hAnsi="Century Gothic" w:cs="Arial"/>
              </w:rPr>
              <w:t xml:space="preserve"> and evidentiary standards. Once the benefits subject to Concurrent Review are determined, Cigna performs utilization management on Wellfleet’s behalf. Their policies are used to determine operational aspects of Concurrent Review.</w:t>
            </w:r>
            <w:r w:rsidRPr="00E70A33">
              <w:rPr>
                <w:rFonts w:ascii="Century Gothic" w:eastAsia="Times New Roman" w:hAnsi="Century Gothic" w:cs="Arial"/>
              </w:rPr>
              <w:t xml:space="preserve">  </w:t>
            </w:r>
          </w:p>
        </w:tc>
      </w:tr>
      <w:tr w:rsidR="001625EC" w:rsidRPr="00D61E32" w14:paraId="733901D3" w14:textId="77777777" w:rsidTr="001625EC">
        <w:trPr>
          <w:trHeight w:val="70"/>
        </w:trPr>
        <w:tc>
          <w:tcPr>
            <w:tcW w:w="2500" w:type="pct"/>
            <w:tcBorders>
              <w:top w:val="single" w:sz="4" w:space="0" w:color="auto"/>
              <w:left w:val="single" w:sz="4" w:space="0" w:color="auto"/>
              <w:bottom w:val="single" w:sz="4" w:space="0" w:color="auto"/>
              <w:right w:val="single" w:sz="4" w:space="0" w:color="auto"/>
            </w:tcBorders>
          </w:tcPr>
          <w:p w14:paraId="7BA44B56" w14:textId="478F542A" w:rsidR="001625EC" w:rsidRPr="00E70A33" w:rsidRDefault="001625EC">
            <w:pPr>
              <w:rPr>
                <w:rFonts w:ascii="Century Gothic" w:eastAsia="Times New Roman" w:hAnsi="Century Gothic" w:cs="Arial"/>
                <w:b/>
                <w:i/>
              </w:rPr>
            </w:pPr>
            <w:r w:rsidRPr="00D61E32">
              <w:rPr>
                <w:rFonts w:ascii="Century Gothic" w:eastAsia="Times New Roman" w:hAnsi="Century Gothic" w:cs="Arial"/>
                <w:b/>
                <w:i/>
              </w:rPr>
              <w:t>Step 1(b): Identify the M/S benefits/services for which Concurrent Review is required:</w:t>
            </w:r>
            <w:r w:rsidRPr="00D61E32">
              <w:rPr>
                <w:rStyle w:val="FootnoteReference"/>
                <w:rFonts w:ascii="Century Gothic" w:eastAsia="Times New Roman" w:hAnsi="Century Gothic" w:cs="Arial"/>
                <w:b/>
                <w:i/>
              </w:rPr>
              <w:footnoteReference w:id="28"/>
            </w:r>
          </w:p>
          <w:p w14:paraId="1C0EA9C6" w14:textId="39FB2440" w:rsidR="001625EC" w:rsidRPr="00D61E32" w:rsidRDefault="00540F00" w:rsidP="00540F00">
            <w:pPr>
              <w:rPr>
                <w:rFonts w:ascii="Century Gothic" w:eastAsia="Times New Roman" w:hAnsi="Century Gothic" w:cs="Arial"/>
              </w:rPr>
            </w:pPr>
            <w:bookmarkStart w:id="14" w:name="OLE_LINK42"/>
            <w:r>
              <w:rPr>
                <w:rFonts w:ascii="Century Gothic" w:eastAsia="Times New Roman" w:hAnsi="Century Gothic" w:cs="Arial"/>
              </w:rPr>
              <w:t xml:space="preserve">Inpatient IN Network and Out of Network </w:t>
            </w:r>
            <w:bookmarkEnd w:id="14"/>
          </w:p>
        </w:tc>
        <w:tc>
          <w:tcPr>
            <w:tcW w:w="2500" w:type="pct"/>
            <w:tcBorders>
              <w:top w:val="single" w:sz="4" w:space="0" w:color="auto"/>
              <w:left w:val="single" w:sz="4" w:space="0" w:color="auto"/>
              <w:bottom w:val="single" w:sz="4" w:space="0" w:color="auto"/>
              <w:right w:val="single" w:sz="4" w:space="0" w:color="auto"/>
            </w:tcBorders>
          </w:tcPr>
          <w:p w14:paraId="3450020D" w14:textId="609CBCCD" w:rsidR="001625EC" w:rsidRPr="00D61E32" w:rsidRDefault="001625EC">
            <w:pPr>
              <w:rPr>
                <w:rFonts w:ascii="Century Gothic" w:eastAsia="Times New Roman" w:hAnsi="Century Gothic" w:cs="Arial"/>
              </w:rPr>
            </w:pPr>
            <w:r w:rsidRPr="00D61E32">
              <w:rPr>
                <w:rFonts w:ascii="Century Gothic" w:eastAsia="Times New Roman" w:hAnsi="Century Gothic" w:cs="Arial"/>
                <w:b/>
                <w:i/>
              </w:rPr>
              <w:t>Step 1(b): Identify the MH/SUD benefits/services for which Concurrent Review is required</w:t>
            </w:r>
            <w:r w:rsidRPr="00D61E32">
              <w:rPr>
                <w:rFonts w:ascii="Century Gothic" w:eastAsia="Times New Roman" w:hAnsi="Century Gothic" w:cs="Arial"/>
              </w:rPr>
              <w:t>:</w:t>
            </w:r>
            <w:r w:rsidRPr="00D61E32">
              <w:rPr>
                <w:rStyle w:val="FootnoteReference"/>
                <w:rFonts w:ascii="Century Gothic" w:eastAsia="Times New Roman" w:hAnsi="Century Gothic" w:cs="Arial"/>
              </w:rPr>
              <w:footnoteReference w:id="29"/>
            </w:r>
          </w:p>
          <w:p w14:paraId="41083729" w14:textId="043570BC" w:rsidR="001625EC" w:rsidRPr="00D61E32" w:rsidRDefault="00540F00" w:rsidP="00540F00">
            <w:pPr>
              <w:rPr>
                <w:rFonts w:ascii="Century Gothic" w:eastAsia="Times New Roman" w:hAnsi="Century Gothic" w:cs="Arial"/>
              </w:rPr>
            </w:pPr>
            <w:r>
              <w:rPr>
                <w:rFonts w:ascii="Century Gothic" w:eastAsia="Times New Roman" w:hAnsi="Century Gothic" w:cs="Arial"/>
              </w:rPr>
              <w:t>Inpatient IN Network and Out of Network</w:t>
            </w:r>
          </w:p>
        </w:tc>
      </w:tr>
      <w:tr w:rsidR="001625EC" w:rsidRPr="00D61E32" w14:paraId="62E919D3" w14:textId="77777777" w:rsidTr="001625EC">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7E500"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Step 2 – Identify the factors used to determine that Concurrent Review will apply to mental health or substance use disorder benefits and medical or surgical benefits</w:t>
            </w:r>
            <w:r w:rsidRPr="00D61E32">
              <w:rPr>
                <w:rStyle w:val="FootnoteReference"/>
                <w:rFonts w:ascii="Century Gothic" w:eastAsia="Times New Roman" w:hAnsi="Century Gothic" w:cs="Arial"/>
                <w:b/>
                <w:bCs/>
              </w:rPr>
              <w:footnoteReference w:id="30"/>
            </w:r>
          </w:p>
        </w:tc>
      </w:tr>
      <w:tr w:rsidR="001625EC" w:rsidRPr="00D61E32" w14:paraId="2C281ADB" w14:textId="77777777" w:rsidTr="001625EC">
        <w:trPr>
          <w:trHeight w:val="1430"/>
        </w:trPr>
        <w:tc>
          <w:tcPr>
            <w:tcW w:w="2500" w:type="pct"/>
            <w:tcBorders>
              <w:top w:val="single" w:sz="4" w:space="0" w:color="auto"/>
              <w:left w:val="single" w:sz="4" w:space="0" w:color="auto"/>
              <w:bottom w:val="single" w:sz="4" w:space="0" w:color="auto"/>
              <w:right w:val="single" w:sz="4" w:space="0" w:color="auto"/>
            </w:tcBorders>
          </w:tcPr>
          <w:p w14:paraId="7C3D64AF" w14:textId="7803F3BD" w:rsidR="001625EC" w:rsidRPr="00D61E32" w:rsidRDefault="001625EC">
            <w:pPr>
              <w:rPr>
                <w:rFonts w:ascii="Century Gothic" w:eastAsia="Times New Roman" w:hAnsi="Century Gothic" w:cs="Arial"/>
              </w:rPr>
            </w:pPr>
            <w:r w:rsidRPr="00D61E32">
              <w:rPr>
                <w:rFonts w:ascii="Century Gothic" w:eastAsia="Times New Roman" w:hAnsi="Century Gothic" w:cs="Arial"/>
                <w:b/>
              </w:rPr>
              <w:t>Medical/Surgical</w:t>
            </w:r>
            <w:r w:rsidRPr="00D61E32">
              <w:rPr>
                <w:rFonts w:ascii="Century Gothic" w:eastAsia="Times New Roman" w:hAnsi="Century Gothic" w:cs="Arial"/>
              </w:rPr>
              <w:t>:</w:t>
            </w:r>
          </w:p>
          <w:p w14:paraId="5A4C7C3E"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 xml:space="preserve">A. Factors for determining whether to apply CR: </w:t>
            </w:r>
          </w:p>
          <w:p w14:paraId="1EBADE94" w14:textId="0C59766B" w:rsidR="001625EC" w:rsidRPr="00E70A33" w:rsidRDefault="001625EC">
            <w:pPr>
              <w:rPr>
                <w:rFonts w:ascii="Century Gothic" w:hAnsi="Century Gothic" w:cs="Arial"/>
              </w:rPr>
            </w:pPr>
            <w:r w:rsidRPr="00D61E32">
              <w:rPr>
                <w:rFonts w:ascii="Century Gothic" w:hAnsi="Century Gothic" w:cs="Arial"/>
              </w:rPr>
              <w:t xml:space="preserve">Wellfleet delegates its Utilization Management, including Concurrent Review, to Cigna. As such, Wellfleet utilizes Cigna’s factors for determining when to apply CR. </w:t>
            </w:r>
          </w:p>
          <w:p w14:paraId="01F992EF" w14:textId="77777777" w:rsidR="001625EC" w:rsidRPr="00D61E32" w:rsidRDefault="001625EC">
            <w:pPr>
              <w:pStyle w:val="Default"/>
              <w:jc w:val="both"/>
              <w:rPr>
                <w:rFonts w:ascii="Century Gothic" w:hAnsi="Century Gothic" w:cs="Arial"/>
                <w:sz w:val="22"/>
                <w:szCs w:val="22"/>
              </w:rPr>
            </w:pPr>
            <w:r w:rsidRPr="00D61E32">
              <w:rPr>
                <w:rFonts w:ascii="Century Gothic" w:hAnsi="Century Gothic" w:cs="Arial"/>
                <w:sz w:val="22"/>
                <w:szCs w:val="22"/>
              </w:rPr>
              <w:t xml:space="preserve">Services covered under a Cigna-administered benefit plan, including M/S benefits, may require Concurrent Review to achieve a variety of objectives, including the verification of the appropriate utilization of services by type/level of care and place/setting of service under benefit plans administered by Cigna, as well as verification that a service will be rendered for a covered benefit.  Services covered under a medical or behavioral benefit administered by Cigna that are on-going with multiple services over multiple dates of service beyond the initial period for which coverage was approved may be subject to Concurrent Review to confirm level of care and clinical appropriateness. </w:t>
            </w:r>
          </w:p>
          <w:p w14:paraId="5E869305" w14:textId="77777777" w:rsidR="001625EC" w:rsidRPr="00D61E32" w:rsidRDefault="001625EC">
            <w:pPr>
              <w:pStyle w:val="Default"/>
              <w:jc w:val="both"/>
              <w:rPr>
                <w:rFonts w:ascii="Century Gothic" w:hAnsi="Century Gothic" w:cs="Arial"/>
                <w:sz w:val="22"/>
                <w:szCs w:val="22"/>
              </w:rPr>
            </w:pPr>
          </w:p>
          <w:p w14:paraId="6BC3097F" w14:textId="77777777" w:rsidR="001625EC" w:rsidRPr="00D61E32" w:rsidRDefault="001625EC">
            <w:pPr>
              <w:pStyle w:val="Default"/>
              <w:jc w:val="both"/>
              <w:rPr>
                <w:rFonts w:ascii="Century Gothic" w:hAnsi="Century Gothic" w:cs="Arial"/>
                <w:color w:val="auto"/>
                <w:sz w:val="22"/>
                <w:szCs w:val="22"/>
              </w:rPr>
            </w:pPr>
            <w:r w:rsidRPr="00D61E32">
              <w:rPr>
                <w:rFonts w:ascii="Century Gothic" w:hAnsi="Century Gothic" w:cs="Arial"/>
                <w:sz w:val="22"/>
                <w:szCs w:val="22"/>
              </w:rPr>
              <w:t xml:space="preserve">A Service may be subject to Concurrent Review, when such Service requires (1) the ongoing assessment to determine or continue to establish the medical necessity of continued services; and (2) appropriateness of current level of care for the severity; or (3) one or more of the following:  </w:t>
            </w:r>
          </w:p>
          <w:p w14:paraId="34504672" w14:textId="77777777" w:rsidR="001625EC" w:rsidRPr="00D61E32" w:rsidRDefault="001625EC">
            <w:pPr>
              <w:pStyle w:val="crunormalChar"/>
              <w:rPr>
                <w:rFonts w:ascii="Century Gothic" w:hAnsi="Century Gothic"/>
                <w:sz w:val="22"/>
                <w:szCs w:val="22"/>
              </w:rPr>
            </w:pPr>
          </w:p>
          <w:p w14:paraId="06AB6041" w14:textId="77777777" w:rsidR="001625EC" w:rsidRPr="00D61E32" w:rsidRDefault="001625EC" w:rsidP="001625EC">
            <w:pPr>
              <w:pStyle w:val="crunormalChar"/>
              <w:numPr>
                <w:ilvl w:val="0"/>
                <w:numId w:val="24"/>
              </w:numPr>
              <w:rPr>
                <w:rFonts w:ascii="Century Gothic" w:hAnsi="Century Gothic"/>
                <w:sz w:val="22"/>
                <w:szCs w:val="22"/>
              </w:rPr>
            </w:pPr>
            <w:r w:rsidRPr="00D61E32">
              <w:rPr>
                <w:rFonts w:ascii="Century Gothic" w:hAnsi="Century Gothic"/>
                <w:sz w:val="22"/>
                <w:szCs w:val="22"/>
              </w:rPr>
              <w:t xml:space="preserve">Complexity of the condition and if extension, expansion, or reduction of services is appropriate </w:t>
            </w:r>
            <w:r w:rsidRPr="00D61E32">
              <w:rPr>
                <w:rFonts w:ascii="Century Gothic" w:hAnsi="Century Gothic"/>
                <w:bCs/>
                <w:color w:val="000000" w:themeColor="text1"/>
                <w:sz w:val="22"/>
                <w:szCs w:val="22"/>
              </w:rPr>
              <w:t xml:space="preserve">based on nationally recognized </w:t>
            </w:r>
            <w:proofErr w:type="gramStart"/>
            <w:r w:rsidRPr="00D61E32">
              <w:rPr>
                <w:rFonts w:ascii="Century Gothic" w:hAnsi="Century Gothic"/>
                <w:bCs/>
                <w:color w:val="000000" w:themeColor="text1"/>
                <w:sz w:val="22"/>
                <w:szCs w:val="22"/>
              </w:rPr>
              <w:t>guidelines</w:t>
            </w:r>
            <w:proofErr w:type="gramEnd"/>
          </w:p>
          <w:p w14:paraId="7798531C" w14:textId="77777777" w:rsidR="001625EC" w:rsidRPr="00D61E32" w:rsidRDefault="001625EC" w:rsidP="001625EC">
            <w:pPr>
              <w:pStyle w:val="crunormalChar"/>
              <w:numPr>
                <w:ilvl w:val="0"/>
                <w:numId w:val="24"/>
              </w:numPr>
              <w:rPr>
                <w:rFonts w:ascii="Century Gothic" w:hAnsi="Century Gothic"/>
                <w:sz w:val="22"/>
                <w:szCs w:val="22"/>
              </w:rPr>
            </w:pPr>
            <w:r w:rsidRPr="00D61E32">
              <w:rPr>
                <w:rFonts w:ascii="Century Gothic" w:hAnsi="Century Gothic"/>
                <w:sz w:val="22"/>
                <w:szCs w:val="22"/>
              </w:rPr>
              <w:t xml:space="preserve">Expected timeframe for clinical response/outcomes based on </w:t>
            </w:r>
            <w:proofErr w:type="gramStart"/>
            <w:r w:rsidRPr="00D61E32">
              <w:rPr>
                <w:rFonts w:ascii="Century Gothic" w:hAnsi="Century Gothic"/>
                <w:sz w:val="22"/>
                <w:szCs w:val="22"/>
              </w:rPr>
              <w:t>literature</w:t>
            </w:r>
            <w:proofErr w:type="gramEnd"/>
          </w:p>
          <w:p w14:paraId="29B94D8A" w14:textId="77777777" w:rsidR="001625EC" w:rsidRPr="00D61E32" w:rsidRDefault="001625EC" w:rsidP="001625EC">
            <w:pPr>
              <w:pStyle w:val="ListParagraph"/>
              <w:numPr>
                <w:ilvl w:val="0"/>
                <w:numId w:val="24"/>
              </w:numPr>
              <w:spacing w:after="0" w:line="240" w:lineRule="auto"/>
              <w:rPr>
                <w:rFonts w:ascii="Century Gothic" w:hAnsi="Century Gothic" w:cs="Arial"/>
              </w:rPr>
            </w:pPr>
            <w:r w:rsidRPr="00D61E32">
              <w:rPr>
                <w:rFonts w:ascii="Century Gothic" w:hAnsi="Century Gothic" w:cs="Arial"/>
              </w:rPr>
              <w:t>Efficacy of the treatment modality</w:t>
            </w:r>
          </w:p>
          <w:p w14:paraId="44E05E0E" w14:textId="77777777" w:rsidR="001625EC" w:rsidRPr="00D61E32" w:rsidRDefault="001625EC" w:rsidP="001625EC">
            <w:pPr>
              <w:pStyle w:val="ListParagraph"/>
              <w:numPr>
                <w:ilvl w:val="0"/>
                <w:numId w:val="24"/>
              </w:numPr>
              <w:spacing w:after="0" w:line="240" w:lineRule="auto"/>
              <w:rPr>
                <w:rFonts w:ascii="Century Gothic" w:hAnsi="Century Gothic" w:cs="Arial"/>
              </w:rPr>
            </w:pPr>
            <w:r w:rsidRPr="00D61E32">
              <w:rPr>
                <w:rFonts w:ascii="Century Gothic" w:hAnsi="Century Gothic" w:cs="Arial"/>
              </w:rPr>
              <w:t>Progress toward goals of therapy</w:t>
            </w:r>
          </w:p>
          <w:p w14:paraId="03EBE455" w14:textId="3CFFD1B5" w:rsidR="001625EC" w:rsidRPr="00E70A33" w:rsidRDefault="001625EC" w:rsidP="00E70A33">
            <w:pPr>
              <w:pStyle w:val="TableParagraph"/>
              <w:numPr>
                <w:ilvl w:val="0"/>
                <w:numId w:val="24"/>
              </w:numPr>
              <w:rPr>
                <w:rFonts w:ascii="Century Gothic" w:hAnsi="Century Gothic" w:cs="Arial"/>
              </w:rPr>
            </w:pPr>
            <w:r w:rsidRPr="00D61E32">
              <w:rPr>
                <w:rFonts w:ascii="Century Gothic" w:hAnsi="Century Gothic" w:cs="Arial"/>
              </w:rPr>
              <w:t xml:space="preserve">Discharge / transition </w:t>
            </w:r>
            <w:proofErr w:type="gramStart"/>
            <w:r w:rsidRPr="00D61E32">
              <w:rPr>
                <w:rFonts w:ascii="Century Gothic" w:hAnsi="Century Gothic" w:cs="Arial"/>
              </w:rPr>
              <w:t>planning</w:t>
            </w:r>
            <w:proofErr w:type="gramEnd"/>
            <w:r w:rsidRPr="00D61E32">
              <w:rPr>
                <w:rFonts w:ascii="Century Gothic" w:hAnsi="Century Gothic" w:cs="Arial"/>
              </w:rPr>
              <w:t xml:space="preserve"> </w:t>
            </w:r>
          </w:p>
          <w:p w14:paraId="0BA34A0D"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 xml:space="preserve">B. Factors for determining whether to remove CR: </w:t>
            </w:r>
          </w:p>
          <w:p w14:paraId="125C9EE8" w14:textId="77777777" w:rsidR="001625EC" w:rsidRPr="00D61E32" w:rsidRDefault="001625EC">
            <w:pPr>
              <w:rPr>
                <w:rFonts w:ascii="Century Gothic" w:hAnsi="Century Gothic" w:cs="Arial"/>
              </w:rPr>
            </w:pPr>
            <w:r w:rsidRPr="00D61E32">
              <w:rPr>
                <w:rFonts w:ascii="Century Gothic" w:hAnsi="Century Gothic" w:cs="Arial"/>
              </w:rPr>
              <w:t xml:space="preserve">Once Wellfleet receives the list of services subject to CR from Cigna, Wellfleet can choose to remove CR from certain benefits/ services. Wellfleet uses the following factors to determine whether to remove CR from certain services: </w:t>
            </w:r>
          </w:p>
          <w:p w14:paraId="0648D704" w14:textId="77777777" w:rsidR="001625EC" w:rsidRPr="00D61E32" w:rsidRDefault="001625EC">
            <w:pPr>
              <w:ind w:left="720"/>
              <w:rPr>
                <w:rFonts w:ascii="Century Gothic" w:hAnsi="Century Gothic" w:cs="Arial"/>
              </w:rPr>
            </w:pPr>
            <w:r w:rsidRPr="00D61E32">
              <w:rPr>
                <w:rFonts w:ascii="Century Gothic" w:hAnsi="Century Gothic" w:cs="Arial"/>
              </w:rPr>
              <w:t xml:space="preserve">1. ROI </w:t>
            </w:r>
          </w:p>
          <w:p w14:paraId="39943407" w14:textId="16CD3DA8" w:rsidR="001625EC" w:rsidRPr="00E70A33" w:rsidRDefault="001625EC" w:rsidP="00E70A33">
            <w:pPr>
              <w:ind w:left="720"/>
              <w:rPr>
                <w:rFonts w:ascii="Century Gothic" w:hAnsi="Century Gothic" w:cs="Arial"/>
              </w:rPr>
            </w:pPr>
            <w:r w:rsidRPr="00D61E32">
              <w:rPr>
                <w:rFonts w:ascii="Century Gothic" w:hAnsi="Century Gothic" w:cs="Arial"/>
              </w:rPr>
              <w:t xml:space="preserve">2. School preference/ selection (used only to remove CR) </w:t>
            </w:r>
          </w:p>
        </w:tc>
        <w:tc>
          <w:tcPr>
            <w:tcW w:w="2500" w:type="pct"/>
            <w:tcBorders>
              <w:top w:val="single" w:sz="4" w:space="0" w:color="auto"/>
              <w:left w:val="single" w:sz="4" w:space="0" w:color="auto"/>
              <w:bottom w:val="single" w:sz="4" w:space="0" w:color="auto"/>
              <w:right w:val="single" w:sz="4" w:space="0" w:color="auto"/>
            </w:tcBorders>
          </w:tcPr>
          <w:p w14:paraId="69D6713D" w14:textId="4AAA8FBF" w:rsidR="001625EC" w:rsidRPr="00D61E32" w:rsidRDefault="001625EC">
            <w:pPr>
              <w:rPr>
                <w:rFonts w:ascii="Century Gothic" w:eastAsia="Times New Roman" w:hAnsi="Century Gothic" w:cs="Arial"/>
              </w:rPr>
            </w:pPr>
            <w:r w:rsidRPr="00D61E32">
              <w:rPr>
                <w:rFonts w:ascii="Century Gothic" w:eastAsia="Times New Roman" w:hAnsi="Century Gothic" w:cs="Arial"/>
                <w:b/>
              </w:rPr>
              <w:t>MH/SUD</w:t>
            </w:r>
            <w:r w:rsidRPr="00D61E32">
              <w:rPr>
                <w:rFonts w:ascii="Century Gothic" w:eastAsia="Times New Roman" w:hAnsi="Century Gothic" w:cs="Arial"/>
              </w:rPr>
              <w:t>:</w:t>
            </w:r>
          </w:p>
          <w:p w14:paraId="62C321A0" w14:textId="77777777" w:rsidR="001625EC" w:rsidRPr="00D61E32" w:rsidRDefault="001625EC">
            <w:pPr>
              <w:rPr>
                <w:rFonts w:ascii="Century Gothic" w:eastAsia="Times New Roman" w:hAnsi="Century Gothic" w:cs="Arial"/>
              </w:rPr>
            </w:pPr>
            <w:r w:rsidRPr="00D61E32">
              <w:rPr>
                <w:rFonts w:ascii="Century Gothic" w:eastAsia="Times New Roman" w:hAnsi="Century Gothic" w:cs="Arial"/>
              </w:rPr>
              <w:t>Same as M/S</w:t>
            </w:r>
          </w:p>
          <w:p w14:paraId="72EDE99D" w14:textId="77777777" w:rsidR="001625EC" w:rsidRPr="00D61E32" w:rsidRDefault="001625EC">
            <w:pPr>
              <w:rPr>
                <w:rFonts w:ascii="Century Gothic" w:eastAsia="Times New Roman" w:hAnsi="Century Gothic" w:cs="Arial"/>
              </w:rPr>
            </w:pPr>
          </w:p>
        </w:tc>
      </w:tr>
      <w:tr w:rsidR="001625EC" w:rsidRPr="00D61E32" w14:paraId="36961A2C" w14:textId="77777777" w:rsidTr="001625EC">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9B0FEA"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Step 3 – Identify the evidentiary standards used for the factors identified in Step 2, when applicable, provided that every factor shall be defined, and any other source or evidence relied upon to design and apply Concurrent Review to mental health or substance use disorder benefits and medical or surgical benefits.</w:t>
            </w:r>
          </w:p>
          <w:p w14:paraId="6CBE3B01" w14:textId="77777777" w:rsidR="001625EC" w:rsidRPr="00D61E32" w:rsidRDefault="001625EC" w:rsidP="001625EC">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Analyses should explain whether any factors were given more weight than others and the reason(s) for doing so, including an evaluation of any specific data used in the determination.</w:t>
            </w:r>
          </w:p>
          <w:p w14:paraId="58EA7BA4" w14:textId="77777777" w:rsidR="001625EC" w:rsidRPr="00D61E32" w:rsidRDefault="001625EC" w:rsidP="001625EC">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To the extent the plan or issuer defines any of the factors, evidentiary standards, strategies, or processes in a quantitative manner, it must include the precise definitions used and any supporting sources.</w:t>
            </w:r>
            <w:r w:rsidRPr="00D61E32">
              <w:rPr>
                <w:rStyle w:val="FootnoteReference"/>
                <w:rFonts w:ascii="Century Gothic" w:eastAsia="Times New Roman" w:hAnsi="Century Gothic" w:cs="Arial"/>
                <w:bCs/>
                <w:i/>
              </w:rPr>
              <w:footnoteReference w:id="31"/>
            </w:r>
          </w:p>
        </w:tc>
      </w:tr>
      <w:tr w:rsidR="001625EC" w:rsidRPr="00D61E32" w14:paraId="07F31071" w14:textId="77777777" w:rsidTr="001625EC">
        <w:trPr>
          <w:trHeight w:val="1720"/>
        </w:trPr>
        <w:tc>
          <w:tcPr>
            <w:tcW w:w="2500" w:type="pct"/>
            <w:tcBorders>
              <w:top w:val="single" w:sz="4" w:space="0" w:color="auto"/>
              <w:left w:val="single" w:sz="4" w:space="0" w:color="auto"/>
              <w:bottom w:val="single" w:sz="4" w:space="0" w:color="auto"/>
              <w:right w:val="single" w:sz="4" w:space="0" w:color="auto"/>
            </w:tcBorders>
          </w:tcPr>
          <w:p w14:paraId="6340732A" w14:textId="5AC30576" w:rsidR="001625EC" w:rsidRPr="00D61E32" w:rsidRDefault="001625EC">
            <w:pPr>
              <w:rPr>
                <w:rFonts w:ascii="Century Gothic" w:eastAsia="Times New Roman" w:hAnsi="Century Gothic" w:cs="Arial"/>
              </w:rPr>
            </w:pPr>
            <w:r w:rsidRPr="00D61E32">
              <w:rPr>
                <w:rFonts w:ascii="Century Gothic" w:eastAsia="Times New Roman" w:hAnsi="Century Gothic" w:cs="Arial"/>
                <w:b/>
              </w:rPr>
              <w:t>Medical/Surgical</w:t>
            </w:r>
            <w:r w:rsidRPr="00D61E32">
              <w:rPr>
                <w:rFonts w:ascii="Century Gothic" w:eastAsia="Times New Roman" w:hAnsi="Century Gothic" w:cs="Arial"/>
              </w:rPr>
              <w:t>:</w:t>
            </w:r>
          </w:p>
          <w:p w14:paraId="1A5751FC" w14:textId="761FA7D8" w:rsidR="001625EC" w:rsidRPr="00E70A33" w:rsidRDefault="001625EC">
            <w:pPr>
              <w:rPr>
                <w:rFonts w:ascii="Century Gothic" w:eastAsia="Times New Roman" w:hAnsi="Century Gothic" w:cs="Arial"/>
                <w:b/>
                <w:bCs/>
              </w:rPr>
            </w:pPr>
            <w:r w:rsidRPr="00D61E32">
              <w:rPr>
                <w:rFonts w:ascii="Century Gothic" w:eastAsia="Times New Roman" w:hAnsi="Century Gothic" w:cs="Arial"/>
                <w:b/>
                <w:bCs/>
              </w:rPr>
              <w:t xml:space="preserve">A. Factors for determining whether to apply CR: </w:t>
            </w:r>
          </w:p>
          <w:p w14:paraId="22F100DF" w14:textId="77777777" w:rsidR="001625EC" w:rsidRPr="00D61E32" w:rsidRDefault="001625EC">
            <w:pPr>
              <w:pStyle w:val="TableParagraph"/>
              <w:rPr>
                <w:rFonts w:ascii="Century Gothic" w:hAnsi="Century Gothic" w:cs="Arial"/>
                <w:b/>
              </w:rPr>
            </w:pPr>
            <w:r w:rsidRPr="00D61E32">
              <w:rPr>
                <w:rFonts w:ascii="Century Gothic" w:hAnsi="Century Gothic" w:cs="Arial"/>
                <w:b/>
              </w:rPr>
              <w:t>Sources</w:t>
            </w:r>
          </w:p>
          <w:p w14:paraId="12BB3A10" w14:textId="77777777" w:rsidR="001625EC" w:rsidRPr="00D61E32" w:rsidRDefault="001625EC" w:rsidP="001625EC">
            <w:pPr>
              <w:pStyle w:val="ListParagraph"/>
              <w:widowControl w:val="0"/>
              <w:numPr>
                <w:ilvl w:val="0"/>
                <w:numId w:val="25"/>
              </w:numPr>
              <w:autoSpaceDE w:val="0"/>
              <w:autoSpaceDN w:val="0"/>
              <w:spacing w:after="0" w:line="240" w:lineRule="auto"/>
              <w:ind w:left="504" w:right="144"/>
              <w:rPr>
                <w:rFonts w:ascii="Century Gothic" w:hAnsi="Century Gothic" w:cs="Arial"/>
              </w:rPr>
            </w:pPr>
            <w:r w:rsidRPr="00D61E32">
              <w:rPr>
                <w:rFonts w:ascii="Century Gothic" w:hAnsi="Century Gothic" w:cs="Arial"/>
              </w:rPr>
              <w:t>Industry accepted procedures codes developed by:</w:t>
            </w:r>
          </w:p>
          <w:p w14:paraId="33AF437E" w14:textId="77777777" w:rsidR="001625EC" w:rsidRPr="00D61E32" w:rsidRDefault="001625EC" w:rsidP="001625EC">
            <w:pPr>
              <w:pStyle w:val="ListParagraph"/>
              <w:widowControl w:val="0"/>
              <w:numPr>
                <w:ilvl w:val="1"/>
                <w:numId w:val="25"/>
              </w:numPr>
              <w:autoSpaceDE w:val="0"/>
              <w:autoSpaceDN w:val="0"/>
              <w:spacing w:after="0" w:line="240" w:lineRule="auto"/>
              <w:ind w:right="144"/>
              <w:rPr>
                <w:rFonts w:ascii="Century Gothic" w:hAnsi="Century Gothic" w:cs="Arial"/>
              </w:rPr>
            </w:pPr>
            <w:r w:rsidRPr="00D61E32">
              <w:rPr>
                <w:rFonts w:ascii="Century Gothic" w:hAnsi="Century Gothic" w:cs="Arial"/>
              </w:rPr>
              <w:t>American Medical Association (AMA) publication of  the Current Procedural Terminology (CPT) book</w:t>
            </w:r>
          </w:p>
          <w:p w14:paraId="65BCFDC8" w14:textId="77777777" w:rsidR="001625EC" w:rsidRPr="00D61E32" w:rsidRDefault="001625EC" w:rsidP="001625EC">
            <w:pPr>
              <w:pStyle w:val="ListParagraph"/>
              <w:widowControl w:val="0"/>
              <w:numPr>
                <w:ilvl w:val="1"/>
                <w:numId w:val="25"/>
              </w:numPr>
              <w:autoSpaceDE w:val="0"/>
              <w:autoSpaceDN w:val="0"/>
              <w:spacing w:after="0" w:line="240" w:lineRule="auto"/>
              <w:ind w:right="144"/>
              <w:rPr>
                <w:rFonts w:ascii="Century Gothic" w:hAnsi="Century Gothic" w:cs="Arial"/>
              </w:rPr>
            </w:pPr>
            <w:r w:rsidRPr="00D61E32">
              <w:rPr>
                <w:rFonts w:ascii="Century Gothic" w:hAnsi="Century Gothic" w:cs="Arial"/>
              </w:rPr>
              <w:t>American Hospital Association</w:t>
            </w:r>
            <w:r w:rsidRPr="00D61E32">
              <w:rPr>
                <w:rFonts w:ascii="Century Gothic" w:hAnsi="Century Gothic" w:cs="Arial"/>
                <w:color w:val="002060"/>
              </w:rPr>
              <w:t xml:space="preserve"> </w:t>
            </w:r>
            <w:r w:rsidRPr="00D61E32">
              <w:rPr>
                <w:rFonts w:ascii="Century Gothic" w:hAnsi="Century Gothic" w:cs="Arial"/>
              </w:rPr>
              <w:t xml:space="preserve">(AHA) publication of  revenue codes </w:t>
            </w:r>
          </w:p>
          <w:p w14:paraId="1E60C6A9" w14:textId="77777777" w:rsidR="001625EC" w:rsidRPr="00D61E32" w:rsidRDefault="001625EC" w:rsidP="001625EC">
            <w:pPr>
              <w:pStyle w:val="ListParagraph"/>
              <w:widowControl w:val="0"/>
              <w:numPr>
                <w:ilvl w:val="1"/>
                <w:numId w:val="25"/>
              </w:numPr>
              <w:autoSpaceDE w:val="0"/>
              <w:autoSpaceDN w:val="0"/>
              <w:spacing w:after="0" w:line="240" w:lineRule="auto"/>
              <w:ind w:right="144"/>
              <w:rPr>
                <w:rFonts w:ascii="Century Gothic" w:hAnsi="Century Gothic" w:cs="Arial"/>
              </w:rPr>
            </w:pPr>
            <w:r w:rsidRPr="00D61E32">
              <w:rPr>
                <w:rFonts w:ascii="Century Gothic" w:hAnsi="Century Gothic" w:cs="Arial"/>
              </w:rPr>
              <w:t>American Formulary Association (AFA) publication of codes</w:t>
            </w:r>
          </w:p>
          <w:p w14:paraId="01B2158B" w14:textId="77777777" w:rsidR="001625EC" w:rsidRPr="00D61E32" w:rsidRDefault="001625EC" w:rsidP="001625EC">
            <w:pPr>
              <w:pStyle w:val="ListParagraph"/>
              <w:widowControl w:val="0"/>
              <w:numPr>
                <w:ilvl w:val="1"/>
                <w:numId w:val="25"/>
              </w:numPr>
              <w:autoSpaceDE w:val="0"/>
              <w:autoSpaceDN w:val="0"/>
              <w:spacing w:after="0" w:line="240" w:lineRule="auto"/>
              <w:ind w:right="144"/>
              <w:rPr>
                <w:rFonts w:ascii="Century Gothic" w:hAnsi="Century Gothic" w:cs="Arial"/>
              </w:rPr>
            </w:pPr>
            <w:r w:rsidRPr="00D61E32">
              <w:rPr>
                <w:rFonts w:ascii="Century Gothic" w:hAnsi="Century Gothic" w:cs="Arial"/>
              </w:rPr>
              <w:t>Centers for Medicare and Medicaid Services (CMS) publication of codes</w:t>
            </w:r>
          </w:p>
          <w:p w14:paraId="27F1284D" w14:textId="77777777" w:rsidR="001625EC" w:rsidRPr="00D61E32" w:rsidRDefault="001625EC" w:rsidP="001625EC">
            <w:pPr>
              <w:pStyle w:val="ListParagraph"/>
              <w:widowControl w:val="0"/>
              <w:numPr>
                <w:ilvl w:val="0"/>
                <w:numId w:val="25"/>
              </w:numPr>
              <w:autoSpaceDE w:val="0"/>
              <w:autoSpaceDN w:val="0"/>
              <w:spacing w:after="0" w:line="240" w:lineRule="auto"/>
              <w:ind w:left="504" w:right="144"/>
              <w:rPr>
                <w:rFonts w:ascii="Century Gothic" w:hAnsi="Century Gothic" w:cs="Arial"/>
              </w:rPr>
            </w:pPr>
            <w:r w:rsidRPr="00D61E32">
              <w:rPr>
                <w:rFonts w:ascii="Century Gothic" w:hAnsi="Century Gothic" w:cs="Arial"/>
              </w:rPr>
              <w:t>Internal claims data </w:t>
            </w:r>
          </w:p>
          <w:p w14:paraId="69A3CB4B" w14:textId="77777777" w:rsidR="001625EC" w:rsidRPr="00D61E32" w:rsidRDefault="001625EC" w:rsidP="001625EC">
            <w:pPr>
              <w:pStyle w:val="ListParagraph"/>
              <w:widowControl w:val="0"/>
              <w:numPr>
                <w:ilvl w:val="0"/>
                <w:numId w:val="25"/>
              </w:numPr>
              <w:autoSpaceDE w:val="0"/>
              <w:autoSpaceDN w:val="0"/>
              <w:spacing w:after="0" w:line="240" w:lineRule="auto"/>
              <w:ind w:left="504" w:right="144"/>
              <w:rPr>
                <w:rFonts w:ascii="Century Gothic" w:hAnsi="Century Gothic" w:cs="Arial"/>
              </w:rPr>
            </w:pPr>
            <w:r w:rsidRPr="00D61E32">
              <w:rPr>
                <w:rFonts w:ascii="Century Gothic" w:hAnsi="Century Gothic" w:cs="Arial"/>
              </w:rPr>
              <w:t xml:space="preserve">UM program operating </w:t>
            </w:r>
            <w:proofErr w:type="gramStart"/>
            <w:r w:rsidRPr="00D61E32">
              <w:rPr>
                <w:rFonts w:ascii="Century Gothic" w:hAnsi="Century Gothic" w:cs="Arial"/>
              </w:rPr>
              <w:t>costs</w:t>
            </w:r>
            <w:proofErr w:type="gramEnd"/>
            <w:r w:rsidRPr="00D61E32">
              <w:rPr>
                <w:rFonts w:ascii="Century Gothic" w:hAnsi="Century Gothic" w:cs="Arial"/>
              </w:rPr>
              <w:t>  </w:t>
            </w:r>
          </w:p>
          <w:p w14:paraId="4BBAEB5D" w14:textId="77777777" w:rsidR="001625EC" w:rsidRPr="00D61E32" w:rsidRDefault="001625EC" w:rsidP="001625EC">
            <w:pPr>
              <w:pStyle w:val="ListParagraph"/>
              <w:widowControl w:val="0"/>
              <w:numPr>
                <w:ilvl w:val="0"/>
                <w:numId w:val="25"/>
              </w:numPr>
              <w:autoSpaceDE w:val="0"/>
              <w:autoSpaceDN w:val="0"/>
              <w:spacing w:after="0" w:line="240" w:lineRule="auto"/>
              <w:ind w:left="504" w:right="144"/>
              <w:rPr>
                <w:rFonts w:ascii="Century Gothic" w:hAnsi="Century Gothic" w:cs="Arial"/>
              </w:rPr>
            </w:pPr>
            <w:r w:rsidRPr="00D61E32">
              <w:rPr>
                <w:rFonts w:ascii="Century Gothic" w:hAnsi="Century Gothic" w:cs="Arial"/>
              </w:rPr>
              <w:t xml:space="preserve">UM authorization </w:t>
            </w:r>
            <w:proofErr w:type="gramStart"/>
            <w:r w:rsidRPr="00D61E32">
              <w:rPr>
                <w:rFonts w:ascii="Century Gothic" w:hAnsi="Century Gothic" w:cs="Arial"/>
              </w:rPr>
              <w:t>data</w:t>
            </w:r>
            <w:proofErr w:type="gramEnd"/>
            <w:r w:rsidRPr="00D61E32">
              <w:rPr>
                <w:rFonts w:ascii="Century Gothic" w:hAnsi="Century Gothic" w:cs="Arial"/>
              </w:rPr>
              <w:t> </w:t>
            </w:r>
          </w:p>
          <w:p w14:paraId="5CE436EF" w14:textId="77777777" w:rsidR="001625EC" w:rsidRPr="00D61E32" w:rsidRDefault="001625EC" w:rsidP="001625EC">
            <w:pPr>
              <w:pStyle w:val="ListParagraph"/>
              <w:widowControl w:val="0"/>
              <w:numPr>
                <w:ilvl w:val="0"/>
                <w:numId w:val="25"/>
              </w:numPr>
              <w:autoSpaceDE w:val="0"/>
              <w:autoSpaceDN w:val="0"/>
              <w:spacing w:after="0" w:line="240" w:lineRule="auto"/>
              <w:ind w:left="504" w:right="144"/>
              <w:rPr>
                <w:rFonts w:ascii="Century Gothic" w:hAnsi="Century Gothic" w:cs="Arial"/>
              </w:rPr>
            </w:pPr>
            <w:r w:rsidRPr="00D61E32">
              <w:rPr>
                <w:rFonts w:ascii="Century Gothic" w:hAnsi="Century Gothic" w:cs="Arial"/>
              </w:rPr>
              <w:t>Expert Medical Review of Clinical Criteria </w:t>
            </w:r>
          </w:p>
          <w:p w14:paraId="3A1C5B19" w14:textId="77777777" w:rsidR="001625EC" w:rsidRPr="00D61E32" w:rsidRDefault="001625EC" w:rsidP="001625EC">
            <w:pPr>
              <w:pStyle w:val="ListParagraph"/>
              <w:widowControl w:val="0"/>
              <w:numPr>
                <w:ilvl w:val="0"/>
                <w:numId w:val="25"/>
              </w:numPr>
              <w:autoSpaceDE w:val="0"/>
              <w:autoSpaceDN w:val="0"/>
              <w:spacing w:after="0" w:line="240" w:lineRule="auto"/>
              <w:ind w:left="504" w:right="144"/>
              <w:rPr>
                <w:rFonts w:ascii="Century Gothic" w:hAnsi="Century Gothic" w:cs="Arial"/>
              </w:rPr>
            </w:pPr>
            <w:r w:rsidRPr="00D61E32">
              <w:rPr>
                <w:rFonts w:ascii="Century Gothic" w:hAnsi="Century Gothic" w:cs="Arial"/>
              </w:rPr>
              <w:t>Nationally recognized evidence-based guidelines  </w:t>
            </w:r>
          </w:p>
          <w:p w14:paraId="6CDF939D" w14:textId="77777777" w:rsidR="001625EC" w:rsidRPr="00D61E32" w:rsidRDefault="001625EC">
            <w:pPr>
              <w:pStyle w:val="TableParagraph"/>
              <w:rPr>
                <w:rFonts w:ascii="Century Gothic" w:hAnsi="Century Gothic" w:cs="Arial"/>
              </w:rPr>
            </w:pPr>
          </w:p>
          <w:p w14:paraId="582EDD74" w14:textId="77777777" w:rsidR="001625EC" w:rsidRPr="00D61E32" w:rsidRDefault="001625EC">
            <w:pPr>
              <w:pStyle w:val="TableParagraph"/>
              <w:rPr>
                <w:rFonts w:ascii="Century Gothic" w:hAnsi="Century Gothic" w:cs="Arial"/>
                <w:b/>
              </w:rPr>
            </w:pPr>
            <w:r w:rsidRPr="00D61E32">
              <w:rPr>
                <w:rFonts w:ascii="Century Gothic" w:hAnsi="Century Gothic" w:cs="Arial"/>
                <w:b/>
              </w:rPr>
              <w:t xml:space="preserve">Evidentiary Standards </w:t>
            </w:r>
          </w:p>
          <w:p w14:paraId="18F288E1" w14:textId="77777777" w:rsidR="001625EC" w:rsidRPr="00D61E32" w:rsidRDefault="001625EC">
            <w:pPr>
              <w:pStyle w:val="TableParagraph"/>
              <w:jc w:val="both"/>
              <w:rPr>
                <w:rFonts w:ascii="Century Gothic" w:hAnsi="Century Gothic" w:cs="Arial"/>
              </w:rPr>
            </w:pPr>
            <w:r w:rsidRPr="00D61E32">
              <w:rPr>
                <w:rFonts w:ascii="Century Gothic" w:hAnsi="Century Gothic" w:cs="Arial"/>
              </w:rPr>
              <w:t xml:space="preserve">The evidentiary standard relied on to determine whether to apply Concurrent Review to inpatient MH/SUD and M/S benefits is whether application of Concurrent Review produces positive financial savings, as measured in the aggregate across the Cigna-administered book-of-business. The value associated with inpatient benefit reviews, as calculated by reference to the expected financial savings relative to the costs to review benefit claims, is assessed at the classification level and not at a service/procedure level. </w:t>
            </w:r>
          </w:p>
          <w:p w14:paraId="2B79DC22" w14:textId="77777777" w:rsidR="001625EC" w:rsidRPr="00D61E32" w:rsidRDefault="001625EC">
            <w:pPr>
              <w:pStyle w:val="TableParagraph"/>
              <w:jc w:val="both"/>
              <w:rPr>
                <w:rFonts w:ascii="Century Gothic" w:hAnsi="Century Gothic" w:cs="Arial"/>
              </w:rPr>
            </w:pPr>
          </w:p>
          <w:p w14:paraId="7CFEC742" w14:textId="77777777" w:rsidR="001625EC" w:rsidRPr="00D61E32" w:rsidRDefault="001625EC">
            <w:pPr>
              <w:pStyle w:val="TableParagraph"/>
              <w:jc w:val="both"/>
              <w:rPr>
                <w:rFonts w:ascii="Century Gothic" w:hAnsi="Century Gothic" w:cs="Arial"/>
                <w:color w:val="000000" w:themeColor="text1"/>
              </w:rPr>
            </w:pPr>
            <w:r w:rsidRPr="00D61E32">
              <w:rPr>
                <w:rFonts w:ascii="Century Gothic" w:hAnsi="Century Gothic" w:cs="Arial"/>
              </w:rPr>
              <w:t>Cigna has determined the value of subjecting all inpatient In-Network and Out-of-Network M/S services to Concur</w:t>
            </w:r>
            <w:r w:rsidRPr="00D61E32">
              <w:rPr>
                <w:rFonts w:ascii="Century Gothic" w:hAnsi="Century Gothic" w:cs="Arial"/>
                <w:color w:val="000000" w:themeColor="text1"/>
              </w:rPr>
              <w:t xml:space="preserve">rent Review must exceed the administrative costs by at least 1:1. The Concurrent Review NQTL applies to all M/S services. The administration is identical. </w:t>
            </w:r>
          </w:p>
          <w:p w14:paraId="552F370C" w14:textId="77777777" w:rsidR="001625EC" w:rsidRPr="00D61E32" w:rsidRDefault="001625EC">
            <w:pPr>
              <w:pStyle w:val="TableParagraph"/>
              <w:rPr>
                <w:rFonts w:ascii="Century Gothic" w:hAnsi="Century Gothic"/>
                <w:color w:val="000000" w:themeColor="text1"/>
              </w:rPr>
            </w:pPr>
          </w:p>
          <w:p w14:paraId="0F5F9BCF" w14:textId="77777777" w:rsidR="001625EC" w:rsidRPr="00D61E32" w:rsidRDefault="001625EC">
            <w:pPr>
              <w:pStyle w:val="TableParagraph"/>
              <w:rPr>
                <w:rFonts w:ascii="Century Gothic" w:hAnsi="Century Gothic" w:cs="Arial"/>
                <w:b/>
                <w:bCs/>
                <w:color w:val="000000" w:themeColor="text1"/>
              </w:rPr>
            </w:pPr>
            <w:r w:rsidRPr="00D61E32">
              <w:rPr>
                <w:rFonts w:ascii="Century Gothic" w:hAnsi="Century Gothic" w:cs="Arial"/>
                <w:b/>
                <w:bCs/>
                <w:color w:val="000000" w:themeColor="text1"/>
              </w:rPr>
              <w:t xml:space="preserve">Consideration of Step Therapy/Fail First Requirements </w:t>
            </w:r>
          </w:p>
          <w:p w14:paraId="0DDB3E88" w14:textId="2EFA9DBB" w:rsidR="00E70A33" w:rsidRPr="00E70A33" w:rsidRDefault="001625EC">
            <w:pPr>
              <w:rPr>
                <w:rFonts w:ascii="Century Gothic" w:hAnsi="Century Gothic" w:cs="Arial"/>
                <w:color w:val="000000" w:themeColor="text1"/>
              </w:rPr>
            </w:pPr>
            <w:r w:rsidRPr="00D61E32">
              <w:rPr>
                <w:rFonts w:ascii="Century Gothic" w:hAnsi="Century Gothic" w:cs="Arial"/>
                <w:color w:val="000000" w:themeColor="text1"/>
              </w:rPr>
              <w:t>Cigna imposes step therapy and/or fail first requirements on certain M/S services including for example, MRI, gastric bypass, lumbar spine fusion where higher-cost therapies may be denied unless it can be shown that a lower-cost therapy is not effective (also known as “fail-first” policies or “ step therapy” protocols).</w:t>
            </w:r>
          </w:p>
          <w:p w14:paraId="2C8DAB00"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 xml:space="preserve">B. Factors for determining whether to remove CR: </w:t>
            </w:r>
          </w:p>
          <w:p w14:paraId="51E5DBC4" w14:textId="77777777" w:rsidR="001625EC" w:rsidRPr="00D61E32" w:rsidRDefault="001625EC" w:rsidP="001625EC">
            <w:pPr>
              <w:pStyle w:val="ListParagraph"/>
              <w:numPr>
                <w:ilvl w:val="0"/>
                <w:numId w:val="22"/>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Factor 1: Return on </w:t>
            </w:r>
            <w:proofErr w:type="gramStart"/>
            <w:r w:rsidRPr="00D61E32">
              <w:rPr>
                <w:rFonts w:ascii="Century Gothic" w:eastAsia="Times New Roman" w:hAnsi="Century Gothic" w:cs="Arial"/>
              </w:rPr>
              <w:t>investment</w:t>
            </w:r>
            <w:proofErr w:type="gramEnd"/>
          </w:p>
          <w:p w14:paraId="7A2CD3F4" w14:textId="77777777" w:rsidR="001625EC" w:rsidRPr="00D61E32" w:rsidRDefault="001625EC" w:rsidP="001625EC">
            <w:pPr>
              <w:pStyle w:val="ListParagraph"/>
              <w:numPr>
                <w:ilvl w:val="1"/>
                <w:numId w:val="21"/>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Source: </w:t>
            </w:r>
          </w:p>
          <w:p w14:paraId="24CC2B1B" w14:textId="77777777" w:rsidR="001625EC" w:rsidRPr="00D61E32" w:rsidRDefault="001625EC" w:rsidP="001625EC">
            <w:pPr>
              <w:pStyle w:val="ListParagraph"/>
              <w:numPr>
                <w:ilvl w:val="1"/>
                <w:numId w:val="21"/>
              </w:numPr>
              <w:spacing w:after="0" w:line="240" w:lineRule="auto"/>
              <w:ind w:left="1964"/>
              <w:rPr>
                <w:rFonts w:ascii="Century Gothic" w:eastAsia="Times New Roman" w:hAnsi="Century Gothic" w:cs="Arial"/>
              </w:rPr>
            </w:pPr>
            <w:r w:rsidRPr="00D61E32">
              <w:rPr>
                <w:rFonts w:ascii="Century Gothic" w:eastAsia="Times New Roman" w:hAnsi="Century Gothic" w:cs="Arial"/>
              </w:rPr>
              <w:t xml:space="preserve">Wellfleet claims data, </w:t>
            </w:r>
          </w:p>
          <w:p w14:paraId="479E8133" w14:textId="77777777" w:rsidR="001625EC" w:rsidRPr="00D61E32" w:rsidRDefault="001625EC" w:rsidP="001625EC">
            <w:pPr>
              <w:pStyle w:val="ListParagraph"/>
              <w:numPr>
                <w:ilvl w:val="1"/>
                <w:numId w:val="21"/>
              </w:numPr>
              <w:spacing w:after="0" w:line="240" w:lineRule="auto"/>
              <w:ind w:left="1964"/>
              <w:rPr>
                <w:rFonts w:ascii="Century Gothic" w:eastAsia="Times New Roman" w:hAnsi="Century Gothic" w:cs="Arial"/>
              </w:rPr>
            </w:pPr>
            <w:r w:rsidRPr="00D61E32">
              <w:rPr>
                <w:rFonts w:ascii="Century Gothic" w:eastAsia="Times New Roman" w:hAnsi="Century Gothic" w:cs="Arial"/>
              </w:rPr>
              <w:t xml:space="preserve">Charges by delegated Review Organization to perform Concurrent Review on add-on </w:t>
            </w:r>
            <w:proofErr w:type="gramStart"/>
            <w:r w:rsidRPr="00D61E32">
              <w:rPr>
                <w:rFonts w:ascii="Century Gothic" w:eastAsia="Times New Roman" w:hAnsi="Century Gothic" w:cs="Arial"/>
              </w:rPr>
              <w:t>services</w:t>
            </w:r>
            <w:proofErr w:type="gramEnd"/>
          </w:p>
          <w:p w14:paraId="26CF6BED" w14:textId="77777777" w:rsidR="001625EC" w:rsidRPr="00D61E32" w:rsidRDefault="001625EC" w:rsidP="001625EC">
            <w:pPr>
              <w:pStyle w:val="ListParagraph"/>
              <w:numPr>
                <w:ilvl w:val="1"/>
                <w:numId w:val="21"/>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Evidentiary Standard: ROI&lt;1 is required to remove a benefit from the list. ROI is defined as annual savings from Prior Auth divided by annual cost (PMPMx12) charged by delegated Review Organization to perform Prior Authorization on add-on </w:t>
            </w:r>
            <w:proofErr w:type="gramStart"/>
            <w:r w:rsidRPr="00D61E32">
              <w:rPr>
                <w:rFonts w:ascii="Century Gothic" w:eastAsia="Times New Roman" w:hAnsi="Century Gothic" w:cs="Arial"/>
              </w:rPr>
              <w:t>services</w:t>
            </w:r>
            <w:proofErr w:type="gramEnd"/>
          </w:p>
          <w:p w14:paraId="7E6C3A3C" w14:textId="77777777" w:rsidR="001625EC" w:rsidRPr="00D61E32" w:rsidRDefault="001625EC" w:rsidP="001625EC">
            <w:pPr>
              <w:pStyle w:val="ListParagraph"/>
              <w:numPr>
                <w:ilvl w:val="0"/>
                <w:numId w:val="21"/>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Factor 2: School (client) preference </w:t>
            </w:r>
          </w:p>
          <w:p w14:paraId="19031985" w14:textId="77777777" w:rsidR="001625EC" w:rsidRPr="00D61E32" w:rsidRDefault="001625EC" w:rsidP="001625EC">
            <w:pPr>
              <w:pStyle w:val="ListParagraph"/>
              <w:numPr>
                <w:ilvl w:val="1"/>
                <w:numId w:val="21"/>
              </w:numPr>
              <w:spacing w:after="0" w:line="240" w:lineRule="auto"/>
              <w:rPr>
                <w:rFonts w:ascii="Century Gothic" w:eastAsia="Times New Roman" w:hAnsi="Century Gothic" w:cs="Arial"/>
              </w:rPr>
            </w:pPr>
            <w:r w:rsidRPr="00D61E32">
              <w:rPr>
                <w:rFonts w:ascii="Century Gothic" w:eastAsia="Times New Roman" w:hAnsi="Century Gothic" w:cs="Arial"/>
              </w:rPr>
              <w:t>Source: School (client) decision to remove a benefit from the list*</w:t>
            </w:r>
          </w:p>
          <w:p w14:paraId="26F6B166" w14:textId="77777777" w:rsidR="001625EC" w:rsidRPr="00D61E32" w:rsidRDefault="001625EC" w:rsidP="001625EC">
            <w:pPr>
              <w:pStyle w:val="ListParagraph"/>
              <w:numPr>
                <w:ilvl w:val="1"/>
                <w:numId w:val="21"/>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Evidentiary Standard: </w:t>
            </w:r>
            <w:r w:rsidRPr="00D61E32">
              <w:rPr>
                <w:rFonts w:ascii="Century Gothic" w:hAnsi="Century Gothic"/>
              </w:rPr>
              <w:t xml:space="preserve"> </w:t>
            </w:r>
            <w:r w:rsidRPr="00D61E32">
              <w:rPr>
                <w:rFonts w:ascii="Century Gothic" w:hAnsi="Century Gothic" w:cs="Arial"/>
              </w:rPr>
              <w:t xml:space="preserve">PA will be removed if the school (client) states that they do not want a certain benefit to be subject to PA and: </w:t>
            </w:r>
          </w:p>
          <w:p w14:paraId="610064BA" w14:textId="77777777" w:rsidR="001625EC" w:rsidRPr="00D61E32" w:rsidRDefault="001625EC" w:rsidP="001625EC">
            <w:pPr>
              <w:pStyle w:val="ListParagraph"/>
              <w:numPr>
                <w:ilvl w:val="2"/>
                <w:numId w:val="21"/>
              </w:numPr>
              <w:spacing w:after="0" w:line="240" w:lineRule="auto"/>
              <w:rPr>
                <w:rFonts w:ascii="Century Gothic" w:eastAsia="Times New Roman" w:hAnsi="Century Gothic" w:cs="Arial"/>
              </w:rPr>
            </w:pPr>
            <w:r w:rsidRPr="00D61E32">
              <w:rPr>
                <w:rFonts w:ascii="Century Gothic" w:eastAsia="Times New Roman" w:hAnsi="Century Gothic" w:cs="Arial"/>
              </w:rPr>
              <w:t>(a) that preference is negotiated as part of the sales process, or</w:t>
            </w:r>
          </w:p>
          <w:p w14:paraId="17A7D6F8" w14:textId="40B0F8E0" w:rsidR="001625EC" w:rsidRPr="00E70A33" w:rsidRDefault="001625EC" w:rsidP="00E70A33">
            <w:pPr>
              <w:pStyle w:val="ListParagraph"/>
              <w:numPr>
                <w:ilvl w:val="2"/>
                <w:numId w:val="21"/>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(b) that preference is provided in writing in an independent decision by the school (client) </w:t>
            </w:r>
            <w:proofErr w:type="gramStart"/>
            <w:r w:rsidRPr="00D61E32">
              <w:rPr>
                <w:rFonts w:ascii="Century Gothic" w:eastAsia="Times New Roman" w:hAnsi="Century Gothic" w:cs="Arial"/>
              </w:rPr>
              <w:t>at a later date</w:t>
            </w:r>
            <w:proofErr w:type="gramEnd"/>
          </w:p>
          <w:p w14:paraId="1CEEA4DD" w14:textId="77777777" w:rsidR="001625EC" w:rsidRPr="00D61E32" w:rsidRDefault="001625EC">
            <w:pPr>
              <w:ind w:left="344"/>
              <w:rPr>
                <w:rFonts w:ascii="Century Gothic" w:eastAsia="Times New Roman" w:hAnsi="Century Gothic" w:cs="Arial"/>
              </w:rPr>
            </w:pPr>
            <w:r w:rsidRPr="00D61E32">
              <w:rPr>
                <w:rFonts w:ascii="Century Gothic" w:eastAsia="Times New Roman" w:hAnsi="Century Gothic" w:cs="Arial"/>
              </w:rPr>
              <w:t xml:space="preserve">*Plans reviewed by Cigna have no Prior Authorization for any outpatient MH/SUD benefit as the ROI for Prior Authorization review by Cigna of all outpatient MH/SUD services is &lt;1. </w:t>
            </w:r>
          </w:p>
          <w:p w14:paraId="0C10C6F4" w14:textId="60487F17" w:rsidR="001625EC" w:rsidRPr="00E70A33" w:rsidRDefault="001625EC" w:rsidP="00E70A33">
            <w:pPr>
              <w:ind w:left="345"/>
              <w:rPr>
                <w:rFonts w:ascii="Century Gothic" w:eastAsia="Times New Roman" w:hAnsi="Century Gothic" w:cs="Arial"/>
              </w:rPr>
            </w:pPr>
            <w:r w:rsidRPr="00D61E32">
              <w:rPr>
                <w:rFonts w:ascii="Century Gothic" w:eastAsia="Times New Roman" w:hAnsi="Century Gothic" w:cs="Arial"/>
              </w:rPr>
              <w:t>*School (client) preference is generally to provide a better benefit for the student and/or ease student administrative burden with their health plan; finance is not a consideration. It is applied uniformly to M/S and MH/SUD benefits. As noted above, this wouldn’t apply to any MH/SUD benefit for plans delegated to Cigna for Prior Authorization review.</w:t>
            </w:r>
          </w:p>
        </w:tc>
        <w:tc>
          <w:tcPr>
            <w:tcW w:w="2500" w:type="pct"/>
            <w:tcBorders>
              <w:top w:val="single" w:sz="4" w:space="0" w:color="auto"/>
              <w:left w:val="single" w:sz="4" w:space="0" w:color="auto"/>
              <w:bottom w:val="single" w:sz="4" w:space="0" w:color="auto"/>
              <w:right w:val="single" w:sz="4" w:space="0" w:color="auto"/>
            </w:tcBorders>
          </w:tcPr>
          <w:p w14:paraId="60E160A6" w14:textId="06B558E3" w:rsidR="001625EC" w:rsidRPr="00D61E32" w:rsidRDefault="001625EC">
            <w:pPr>
              <w:rPr>
                <w:rFonts w:ascii="Century Gothic" w:eastAsia="Times New Roman" w:hAnsi="Century Gothic" w:cs="Arial"/>
              </w:rPr>
            </w:pPr>
            <w:r w:rsidRPr="00D61E32">
              <w:rPr>
                <w:rFonts w:ascii="Century Gothic" w:eastAsia="Times New Roman" w:hAnsi="Century Gothic" w:cs="Arial"/>
                <w:b/>
              </w:rPr>
              <w:t>MH/SUD</w:t>
            </w:r>
            <w:r w:rsidRPr="00D61E32">
              <w:rPr>
                <w:rFonts w:ascii="Century Gothic" w:eastAsia="Times New Roman" w:hAnsi="Century Gothic" w:cs="Arial"/>
              </w:rPr>
              <w:t>:</w:t>
            </w:r>
          </w:p>
          <w:p w14:paraId="2670CC87" w14:textId="37771031" w:rsidR="001625EC" w:rsidRPr="00E70A33" w:rsidRDefault="001625EC">
            <w:pPr>
              <w:rPr>
                <w:rFonts w:ascii="Century Gothic" w:hAnsi="Century Gothic" w:cs="Arial"/>
                <w:b/>
                <w:bCs/>
              </w:rPr>
            </w:pPr>
            <w:r w:rsidRPr="00D61E32">
              <w:rPr>
                <w:rFonts w:ascii="Century Gothic" w:hAnsi="Century Gothic" w:cs="Arial"/>
                <w:b/>
                <w:bCs/>
              </w:rPr>
              <w:t>A. Factors for determining whether to apply CR:</w:t>
            </w:r>
            <w:r w:rsidRPr="00D61E32">
              <w:rPr>
                <w:rFonts w:ascii="Century Gothic" w:hAnsi="Century Gothic" w:cs="Arial"/>
                <w:b/>
              </w:rPr>
              <w:t xml:space="preserve"> </w:t>
            </w:r>
          </w:p>
          <w:p w14:paraId="50632ABD" w14:textId="77777777" w:rsidR="001625EC" w:rsidRPr="00D61E32" w:rsidRDefault="001625EC">
            <w:pPr>
              <w:rPr>
                <w:rFonts w:ascii="Century Gothic" w:hAnsi="Century Gothic" w:cs="Arial"/>
                <w:bCs/>
              </w:rPr>
            </w:pPr>
            <w:r w:rsidRPr="00D61E32">
              <w:rPr>
                <w:rFonts w:ascii="Century Gothic" w:hAnsi="Century Gothic" w:cs="Arial"/>
                <w:b/>
              </w:rPr>
              <w:t>Sources</w:t>
            </w:r>
            <w:r w:rsidRPr="00D61E32">
              <w:rPr>
                <w:rFonts w:ascii="Century Gothic" w:hAnsi="Century Gothic" w:cs="Arial"/>
                <w:bCs/>
              </w:rPr>
              <w:t xml:space="preserve"> </w:t>
            </w:r>
          </w:p>
          <w:p w14:paraId="076B6A62" w14:textId="77777777" w:rsidR="001625EC" w:rsidRPr="00D61E32" w:rsidRDefault="001625EC">
            <w:pPr>
              <w:rPr>
                <w:rFonts w:ascii="Century Gothic" w:hAnsi="Century Gothic" w:cs="Arial"/>
                <w:bCs/>
              </w:rPr>
            </w:pPr>
            <w:r w:rsidRPr="00D61E32">
              <w:rPr>
                <w:rFonts w:ascii="Century Gothic" w:hAnsi="Century Gothic" w:cs="Arial"/>
                <w:bCs/>
              </w:rPr>
              <w:t>Same as M/S</w:t>
            </w:r>
          </w:p>
          <w:p w14:paraId="3EDCDD49" w14:textId="77777777" w:rsidR="001625EC" w:rsidRPr="00D61E32" w:rsidRDefault="001625EC">
            <w:pPr>
              <w:rPr>
                <w:rFonts w:ascii="Century Gothic" w:hAnsi="Century Gothic" w:cs="Arial"/>
                <w:bCs/>
              </w:rPr>
            </w:pPr>
          </w:p>
          <w:p w14:paraId="3A220F63" w14:textId="77777777" w:rsidR="001625EC" w:rsidRPr="00D61E32" w:rsidRDefault="001625EC">
            <w:pPr>
              <w:rPr>
                <w:rFonts w:ascii="Century Gothic" w:hAnsi="Century Gothic" w:cs="Arial"/>
                <w:bCs/>
              </w:rPr>
            </w:pPr>
          </w:p>
          <w:p w14:paraId="47B528F3" w14:textId="77777777" w:rsidR="001625EC" w:rsidRPr="00D61E32" w:rsidRDefault="001625EC">
            <w:pPr>
              <w:rPr>
                <w:rFonts w:ascii="Century Gothic" w:hAnsi="Century Gothic" w:cs="Arial"/>
                <w:bCs/>
              </w:rPr>
            </w:pPr>
          </w:p>
          <w:p w14:paraId="0BF0BFE8" w14:textId="77777777" w:rsidR="001625EC" w:rsidRPr="00D61E32" w:rsidRDefault="001625EC">
            <w:pPr>
              <w:rPr>
                <w:rFonts w:ascii="Century Gothic" w:hAnsi="Century Gothic" w:cs="Arial"/>
                <w:bCs/>
              </w:rPr>
            </w:pPr>
          </w:p>
          <w:p w14:paraId="2DFEE1A7" w14:textId="77777777" w:rsidR="001625EC" w:rsidRPr="00D61E32" w:rsidRDefault="001625EC">
            <w:pPr>
              <w:rPr>
                <w:rFonts w:ascii="Century Gothic" w:hAnsi="Century Gothic" w:cs="Arial"/>
                <w:bCs/>
              </w:rPr>
            </w:pPr>
          </w:p>
          <w:p w14:paraId="26238A41" w14:textId="77777777" w:rsidR="001625EC" w:rsidRPr="00D61E32" w:rsidRDefault="001625EC">
            <w:pPr>
              <w:rPr>
                <w:rFonts w:ascii="Century Gothic" w:hAnsi="Century Gothic" w:cs="Arial"/>
                <w:bCs/>
              </w:rPr>
            </w:pPr>
          </w:p>
          <w:p w14:paraId="3C7B9723" w14:textId="77777777" w:rsidR="001625EC" w:rsidRPr="00D61E32" w:rsidRDefault="001625EC">
            <w:pPr>
              <w:rPr>
                <w:rFonts w:ascii="Century Gothic" w:hAnsi="Century Gothic" w:cs="Arial"/>
                <w:bCs/>
              </w:rPr>
            </w:pPr>
          </w:p>
          <w:p w14:paraId="6C61E40B" w14:textId="77777777" w:rsidR="001625EC" w:rsidRPr="00D61E32" w:rsidRDefault="001625EC">
            <w:pPr>
              <w:rPr>
                <w:rFonts w:ascii="Century Gothic" w:hAnsi="Century Gothic" w:cs="Arial"/>
                <w:bCs/>
              </w:rPr>
            </w:pPr>
          </w:p>
          <w:p w14:paraId="02765B08" w14:textId="77777777" w:rsidR="001625EC" w:rsidRDefault="001625EC">
            <w:pPr>
              <w:rPr>
                <w:rFonts w:ascii="Century Gothic" w:hAnsi="Century Gothic" w:cs="Arial"/>
                <w:bCs/>
              </w:rPr>
            </w:pPr>
          </w:p>
          <w:p w14:paraId="51B6DD26" w14:textId="77777777" w:rsidR="00E70A33" w:rsidRPr="00D61E32" w:rsidRDefault="00E70A33">
            <w:pPr>
              <w:rPr>
                <w:rFonts w:ascii="Century Gothic" w:hAnsi="Century Gothic" w:cs="Arial"/>
                <w:bCs/>
              </w:rPr>
            </w:pPr>
          </w:p>
          <w:p w14:paraId="118EFE14" w14:textId="77777777" w:rsidR="001625EC" w:rsidRPr="00D61E32" w:rsidRDefault="001625EC">
            <w:pPr>
              <w:rPr>
                <w:rFonts w:ascii="Century Gothic" w:hAnsi="Century Gothic" w:cs="Arial"/>
                <w:bCs/>
              </w:rPr>
            </w:pPr>
          </w:p>
          <w:p w14:paraId="35B5F346" w14:textId="77777777" w:rsidR="001625EC" w:rsidRPr="00D61E32" w:rsidRDefault="001625EC">
            <w:pPr>
              <w:rPr>
                <w:rFonts w:ascii="Century Gothic" w:hAnsi="Century Gothic" w:cs="Arial"/>
                <w:bCs/>
              </w:rPr>
            </w:pPr>
          </w:p>
          <w:p w14:paraId="2042A324" w14:textId="77777777" w:rsidR="001625EC" w:rsidRPr="00D61E32" w:rsidRDefault="001625EC">
            <w:pPr>
              <w:rPr>
                <w:rFonts w:ascii="Century Gothic" w:hAnsi="Century Gothic" w:cs="Arial"/>
                <w:b/>
              </w:rPr>
            </w:pPr>
            <w:r w:rsidRPr="00D61E32">
              <w:rPr>
                <w:rFonts w:ascii="Century Gothic" w:hAnsi="Century Gothic" w:cs="Arial"/>
                <w:b/>
              </w:rPr>
              <w:t xml:space="preserve">Evidentiary Standards </w:t>
            </w:r>
          </w:p>
          <w:p w14:paraId="37796655" w14:textId="77777777" w:rsidR="001625EC" w:rsidRPr="00D61E32" w:rsidRDefault="001625EC">
            <w:pPr>
              <w:rPr>
                <w:rFonts w:ascii="Century Gothic" w:hAnsi="Century Gothic" w:cs="Arial"/>
                <w:bCs/>
              </w:rPr>
            </w:pPr>
            <w:r w:rsidRPr="00D61E32">
              <w:rPr>
                <w:rFonts w:ascii="Century Gothic" w:hAnsi="Century Gothic" w:cs="Arial"/>
                <w:bCs/>
              </w:rPr>
              <w:t>Same as M/S</w:t>
            </w:r>
          </w:p>
          <w:p w14:paraId="4757A4F1" w14:textId="77777777" w:rsidR="001625EC" w:rsidRPr="00D61E32" w:rsidRDefault="001625EC">
            <w:pPr>
              <w:rPr>
                <w:rFonts w:ascii="Century Gothic" w:hAnsi="Century Gothic" w:cs="Arial"/>
                <w:bCs/>
              </w:rPr>
            </w:pPr>
          </w:p>
          <w:p w14:paraId="085F9822" w14:textId="77777777" w:rsidR="001625EC" w:rsidRPr="00D61E32" w:rsidRDefault="001625EC">
            <w:pPr>
              <w:rPr>
                <w:rFonts w:ascii="Century Gothic" w:hAnsi="Century Gothic" w:cs="Arial"/>
                <w:bCs/>
              </w:rPr>
            </w:pPr>
          </w:p>
          <w:p w14:paraId="565BF703" w14:textId="77777777" w:rsidR="001625EC" w:rsidRPr="00D61E32" w:rsidRDefault="001625EC">
            <w:pPr>
              <w:rPr>
                <w:rFonts w:ascii="Century Gothic" w:hAnsi="Century Gothic" w:cs="Arial"/>
                <w:bCs/>
              </w:rPr>
            </w:pPr>
          </w:p>
          <w:p w14:paraId="212023CE" w14:textId="77777777" w:rsidR="001625EC" w:rsidRPr="00D61E32" w:rsidRDefault="001625EC">
            <w:pPr>
              <w:rPr>
                <w:rFonts w:ascii="Century Gothic" w:hAnsi="Century Gothic" w:cs="Arial"/>
                <w:bCs/>
              </w:rPr>
            </w:pPr>
          </w:p>
          <w:p w14:paraId="690A5705" w14:textId="77777777" w:rsidR="001625EC" w:rsidRPr="00D61E32" w:rsidRDefault="001625EC">
            <w:pPr>
              <w:rPr>
                <w:rFonts w:ascii="Century Gothic" w:hAnsi="Century Gothic" w:cs="Arial"/>
                <w:bCs/>
              </w:rPr>
            </w:pPr>
          </w:p>
          <w:p w14:paraId="4CB95C11" w14:textId="77777777" w:rsidR="001625EC" w:rsidRPr="00D61E32" w:rsidRDefault="001625EC">
            <w:pPr>
              <w:rPr>
                <w:rFonts w:ascii="Century Gothic" w:hAnsi="Century Gothic" w:cs="Arial"/>
                <w:bCs/>
              </w:rPr>
            </w:pPr>
          </w:p>
          <w:p w14:paraId="7E0DDEAD" w14:textId="77777777" w:rsidR="001625EC" w:rsidRDefault="001625EC">
            <w:pPr>
              <w:rPr>
                <w:rFonts w:ascii="Century Gothic" w:hAnsi="Century Gothic" w:cs="Arial"/>
                <w:bCs/>
              </w:rPr>
            </w:pPr>
          </w:p>
          <w:p w14:paraId="402EF95F" w14:textId="77777777" w:rsidR="00E70A33" w:rsidRDefault="00E70A33">
            <w:pPr>
              <w:rPr>
                <w:rFonts w:ascii="Century Gothic" w:hAnsi="Century Gothic" w:cs="Arial"/>
                <w:bCs/>
              </w:rPr>
            </w:pPr>
          </w:p>
          <w:p w14:paraId="5022ED70" w14:textId="77777777" w:rsidR="00E70A33" w:rsidRDefault="00E70A33">
            <w:pPr>
              <w:rPr>
                <w:rFonts w:ascii="Century Gothic" w:hAnsi="Century Gothic" w:cs="Arial"/>
                <w:bCs/>
              </w:rPr>
            </w:pPr>
          </w:p>
          <w:p w14:paraId="65F39212" w14:textId="77777777" w:rsidR="00E70A33" w:rsidRPr="00D61E32" w:rsidRDefault="00E70A33">
            <w:pPr>
              <w:rPr>
                <w:rFonts w:ascii="Century Gothic" w:hAnsi="Century Gothic" w:cs="Arial"/>
                <w:bCs/>
              </w:rPr>
            </w:pPr>
          </w:p>
          <w:p w14:paraId="14334D9D" w14:textId="77777777" w:rsidR="001625EC" w:rsidRPr="00D61E32" w:rsidRDefault="001625EC">
            <w:pPr>
              <w:rPr>
                <w:rFonts w:ascii="Century Gothic" w:hAnsi="Century Gothic" w:cs="Arial"/>
                <w:bCs/>
              </w:rPr>
            </w:pPr>
          </w:p>
          <w:p w14:paraId="0F3547E5" w14:textId="77777777" w:rsidR="001625EC" w:rsidRPr="00D61E32" w:rsidRDefault="001625EC">
            <w:pPr>
              <w:pStyle w:val="TableParagraph"/>
              <w:rPr>
                <w:rFonts w:ascii="Century Gothic" w:hAnsi="Century Gothic" w:cs="Arial"/>
                <w:b/>
                <w:bCs/>
                <w:color w:val="000000" w:themeColor="text1"/>
              </w:rPr>
            </w:pPr>
          </w:p>
          <w:p w14:paraId="0A13D717" w14:textId="77777777" w:rsidR="001625EC" w:rsidRPr="00D61E32" w:rsidRDefault="001625EC">
            <w:pPr>
              <w:pStyle w:val="TableParagraph"/>
              <w:rPr>
                <w:rFonts w:ascii="Century Gothic" w:hAnsi="Century Gothic" w:cs="Arial"/>
                <w:b/>
                <w:bCs/>
                <w:color w:val="000000" w:themeColor="text1"/>
              </w:rPr>
            </w:pPr>
            <w:r w:rsidRPr="00D61E32">
              <w:rPr>
                <w:rFonts w:ascii="Century Gothic" w:hAnsi="Century Gothic" w:cs="Arial"/>
                <w:b/>
                <w:bCs/>
                <w:color w:val="000000" w:themeColor="text1"/>
              </w:rPr>
              <w:t xml:space="preserve">Consideration of Step Therapy/Fail First Requirements </w:t>
            </w:r>
          </w:p>
          <w:p w14:paraId="4C83CC50" w14:textId="5F81DCDB" w:rsidR="001625EC" w:rsidRPr="00E70A33" w:rsidRDefault="001625EC">
            <w:pPr>
              <w:rPr>
                <w:rFonts w:ascii="Century Gothic" w:hAnsi="Century Gothic" w:cs="Arial"/>
                <w:b/>
              </w:rPr>
            </w:pPr>
            <w:r w:rsidRPr="00D61E32">
              <w:rPr>
                <w:rFonts w:ascii="Century Gothic" w:hAnsi="Century Gothic" w:cs="Arial"/>
                <w:bCs/>
              </w:rPr>
              <w:t xml:space="preserve">Same as M/S, except </w:t>
            </w:r>
            <w:r w:rsidRPr="00D61E32">
              <w:rPr>
                <w:rFonts w:ascii="Century Gothic" w:hAnsi="Century Gothic" w:cs="Arial"/>
                <w:color w:val="000000" w:themeColor="text1"/>
              </w:rPr>
              <w:t>Cigna does not impose a Fail First/Step Therapy NQTL on MH/SUD services where higher-cost therapies may be denied unless it can be shown that a lower-cost therapy is not effective (also known as “fail-first” policies or “ step therapy” protocols).</w:t>
            </w:r>
            <w:r w:rsidRPr="00D61E32">
              <w:rPr>
                <w:rFonts w:ascii="Century Gothic" w:hAnsi="Century Gothic"/>
                <w:color w:val="000000" w:themeColor="text1"/>
              </w:rPr>
              <w:t xml:space="preserve">   </w:t>
            </w:r>
          </w:p>
          <w:p w14:paraId="7741E603" w14:textId="77777777" w:rsidR="001625EC" w:rsidRPr="00D61E32" w:rsidRDefault="001625EC">
            <w:pPr>
              <w:rPr>
                <w:rFonts w:ascii="Century Gothic" w:eastAsia="Times New Roman" w:hAnsi="Century Gothic" w:cs="Arial"/>
                <w:b/>
                <w:bCs/>
              </w:rPr>
            </w:pPr>
          </w:p>
          <w:p w14:paraId="3621EFD6"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 xml:space="preserve">B. Factors for determining whether to remove CR: </w:t>
            </w:r>
          </w:p>
          <w:p w14:paraId="4EFAAA33" w14:textId="77777777" w:rsidR="001625EC" w:rsidRPr="00D61E32" w:rsidRDefault="001625EC">
            <w:pPr>
              <w:rPr>
                <w:rFonts w:ascii="Century Gothic" w:eastAsia="Times New Roman" w:hAnsi="Century Gothic" w:cs="Arial"/>
              </w:rPr>
            </w:pPr>
            <w:r w:rsidRPr="00D61E32">
              <w:rPr>
                <w:rFonts w:ascii="Century Gothic" w:eastAsia="Times New Roman" w:hAnsi="Century Gothic" w:cs="Arial"/>
              </w:rPr>
              <w:t xml:space="preserve">Same as M/S </w:t>
            </w:r>
          </w:p>
          <w:p w14:paraId="01604EFB" w14:textId="77777777" w:rsidR="001625EC" w:rsidRPr="00D61E32" w:rsidRDefault="001625EC">
            <w:pPr>
              <w:rPr>
                <w:rFonts w:ascii="Century Gothic" w:eastAsia="Times New Roman" w:hAnsi="Century Gothic" w:cs="Arial"/>
              </w:rPr>
            </w:pPr>
          </w:p>
          <w:p w14:paraId="66C2AE9A" w14:textId="77777777" w:rsidR="001625EC" w:rsidRPr="00D61E32" w:rsidRDefault="001625EC">
            <w:pPr>
              <w:rPr>
                <w:rFonts w:ascii="Century Gothic" w:eastAsia="Times New Roman" w:hAnsi="Century Gothic" w:cs="Arial"/>
              </w:rPr>
            </w:pPr>
          </w:p>
          <w:p w14:paraId="55B1255C" w14:textId="77777777" w:rsidR="001625EC" w:rsidRPr="00D61E32" w:rsidRDefault="001625EC">
            <w:pPr>
              <w:rPr>
                <w:rFonts w:ascii="Century Gothic" w:eastAsia="Times New Roman" w:hAnsi="Century Gothic" w:cs="Arial"/>
              </w:rPr>
            </w:pPr>
          </w:p>
        </w:tc>
      </w:tr>
      <w:tr w:rsidR="001625EC" w:rsidRPr="00D61E32" w14:paraId="187476AD" w14:textId="77777777" w:rsidTr="001625EC">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A869C" w14:textId="77777777" w:rsidR="001625EC" w:rsidRPr="00D61E32" w:rsidRDefault="001625EC">
            <w:pPr>
              <w:rPr>
                <w:rFonts w:ascii="Century Gothic" w:eastAsia="Times New Roman" w:hAnsi="Century Gothic" w:cs="Arial"/>
                <w:bCs/>
              </w:rPr>
            </w:pPr>
            <w:r w:rsidRPr="00D61E32">
              <w:rPr>
                <w:rFonts w:ascii="Century Gothic" w:eastAsia="Times New Roman" w:hAnsi="Century Gothic"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7E9AD40D" w14:textId="77777777" w:rsidR="001625EC" w:rsidRPr="00D61E32" w:rsidRDefault="001625EC" w:rsidP="001625EC">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The analyses, as documented, should explain whether there is any variation in the application of a guideline or standard used by the plan or issuer between MH/SUD and medical/surgical benefits and, if so, describe the process and factors used for establishing that variation.</w:t>
            </w:r>
          </w:p>
          <w:p w14:paraId="14C5FE92" w14:textId="77777777" w:rsidR="001625EC" w:rsidRPr="00D61E32" w:rsidRDefault="001625EC" w:rsidP="001625EC">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If the application of the NQTL turns on specific decisions in administration of the benefits, the plan or issuer should identify the nature of the decisions, the decision maker(s), the timing of the decisions, and the qualifications of the decision maker(s).</w:t>
            </w:r>
          </w:p>
          <w:p w14:paraId="0AC3E6A8" w14:textId="77777777" w:rsidR="001625EC" w:rsidRPr="00D61E32" w:rsidRDefault="001625EC" w:rsidP="001625EC">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 xml:space="preserve">If the </w:t>
            </w:r>
            <w:proofErr w:type="gramStart"/>
            <w:r w:rsidRPr="00D61E32">
              <w:rPr>
                <w:rFonts w:ascii="Century Gothic" w:eastAsia="Times New Roman" w:hAnsi="Century Gothic" w:cs="Arial"/>
                <w:bCs/>
                <w:i/>
              </w:rPr>
              <w:t>plan’s</w:t>
            </w:r>
            <w:proofErr w:type="gramEnd"/>
            <w:r w:rsidRPr="00D61E32">
              <w:rPr>
                <w:rFonts w:ascii="Century Gothic" w:eastAsia="Times New Roman" w:hAnsi="Century Gothic" w:cs="Arial"/>
                <w:bCs/>
                <w:i/>
              </w:rPr>
              <w:t xml:space="preserve">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r w:rsidRPr="00D61E32">
              <w:rPr>
                <w:rStyle w:val="FootnoteReference"/>
                <w:rFonts w:ascii="Century Gothic" w:eastAsia="Times New Roman" w:hAnsi="Century Gothic" w:cs="Arial"/>
                <w:bCs/>
                <w:i/>
              </w:rPr>
              <w:footnoteReference w:id="32"/>
            </w:r>
          </w:p>
        </w:tc>
      </w:tr>
      <w:tr w:rsidR="001625EC" w:rsidRPr="00D61E32" w14:paraId="638E90AC" w14:textId="77777777" w:rsidTr="001625EC">
        <w:trPr>
          <w:trHeight w:val="1720"/>
        </w:trPr>
        <w:tc>
          <w:tcPr>
            <w:tcW w:w="2500" w:type="pct"/>
            <w:tcBorders>
              <w:top w:val="single" w:sz="4" w:space="0" w:color="auto"/>
              <w:left w:val="single" w:sz="4" w:space="0" w:color="auto"/>
              <w:bottom w:val="single" w:sz="4" w:space="0" w:color="auto"/>
              <w:right w:val="single" w:sz="4" w:space="0" w:color="auto"/>
            </w:tcBorders>
          </w:tcPr>
          <w:p w14:paraId="5B6D1A3D" w14:textId="3F8B6E12" w:rsidR="001625EC" w:rsidRPr="00E70A33" w:rsidRDefault="001625EC">
            <w:pPr>
              <w:rPr>
                <w:rFonts w:ascii="Century Gothic" w:hAnsi="Century Gothic" w:cs="Arial"/>
              </w:rPr>
            </w:pPr>
            <w:r w:rsidRPr="00D61E32">
              <w:rPr>
                <w:rFonts w:ascii="Century Gothic" w:hAnsi="Century Gothic" w:cs="Arial"/>
                <w:b/>
                <w:i/>
              </w:rPr>
              <w:t>Step 4(a): Briefly describe the processes by which Concurrent Review is applied to M/S benefits</w:t>
            </w:r>
            <w:r w:rsidRPr="00D61E32">
              <w:rPr>
                <w:rFonts w:ascii="Century Gothic" w:hAnsi="Century Gothic" w:cs="Arial"/>
              </w:rPr>
              <w:t>:</w:t>
            </w:r>
          </w:p>
          <w:p w14:paraId="03948821" w14:textId="77777777" w:rsidR="001625EC" w:rsidRPr="00D61E32" w:rsidRDefault="001625EC">
            <w:pPr>
              <w:rPr>
                <w:rFonts w:ascii="Century Gothic" w:hAnsi="Century Gothic" w:cs="Arial"/>
                <w:iCs/>
              </w:rPr>
            </w:pPr>
            <w:r w:rsidRPr="00D61E32">
              <w:rPr>
                <w:rFonts w:ascii="Century Gothic" w:hAnsi="Century Gothic" w:cs="Arial"/>
                <w:iCs/>
              </w:rPr>
              <w:t>Timelines and deadlines, including the frequency with which re-authorizations are required:</w:t>
            </w:r>
          </w:p>
          <w:p w14:paraId="00A1ADAC" w14:textId="77777777" w:rsidR="001625EC" w:rsidRPr="00D61E32" w:rsidRDefault="001625EC">
            <w:pPr>
              <w:pStyle w:val="TableParagraph"/>
              <w:jc w:val="both"/>
              <w:rPr>
                <w:rFonts w:ascii="Century Gothic" w:hAnsi="Century Gothic" w:cs="Arial"/>
                <w:i/>
                <w:iCs/>
              </w:rPr>
            </w:pPr>
            <w:r w:rsidRPr="00D61E32">
              <w:rPr>
                <w:rFonts w:ascii="Century Gothic" w:hAnsi="Century Gothic" w:cs="Arial"/>
                <w:i/>
                <w:iCs/>
              </w:rPr>
              <w:t xml:space="preserve">Initiating Inpatient Concurrent Care Review </w:t>
            </w:r>
          </w:p>
          <w:p w14:paraId="55904CF7" w14:textId="77777777" w:rsidR="001625EC" w:rsidRPr="00D61E32" w:rsidRDefault="001625EC">
            <w:pPr>
              <w:pStyle w:val="TableParagraph"/>
              <w:jc w:val="both"/>
              <w:rPr>
                <w:rFonts w:ascii="Century Gothic" w:hAnsi="Century Gothic" w:cs="Arial"/>
              </w:rPr>
            </w:pPr>
            <w:r w:rsidRPr="00D61E32">
              <w:rPr>
                <w:rFonts w:ascii="Century Gothic" w:hAnsi="Century Gothic" w:cs="Arial"/>
              </w:rPr>
              <w:t xml:space="preserve">This occurs when a facility/provider requests to extend an inpatient stay beyond the previously authorized length of stay or more frequently based upon review of the level of care and clinical criteria. For M/S benefits, the nurse reviewer/care manager collects the updated clinical information and/or reviews it for medical necessity. If the nurse reviewer/care manager determines the enrollee meets criteria for continued inpatient care, he/she authorizes the services at issue. </w:t>
            </w:r>
          </w:p>
          <w:p w14:paraId="4EEE423C" w14:textId="77777777" w:rsidR="001625EC" w:rsidRPr="00D61E32" w:rsidRDefault="001625EC">
            <w:pPr>
              <w:rPr>
                <w:rFonts w:ascii="Century Gothic" w:hAnsi="Century Gothic" w:cs="Arial"/>
                <w:i/>
                <w:iCs/>
              </w:rPr>
            </w:pPr>
            <w:r w:rsidRPr="00D61E32">
              <w:rPr>
                <w:rFonts w:ascii="Century Gothic" w:hAnsi="Century Gothic" w:cs="Arial"/>
                <w:i/>
                <w:iCs/>
              </w:rPr>
              <w:t>Criteria</w:t>
            </w:r>
          </w:p>
          <w:p w14:paraId="4C1AFF49" w14:textId="3FFC1519" w:rsidR="001625EC" w:rsidRDefault="001625EC" w:rsidP="00E70A33">
            <w:pPr>
              <w:pStyle w:val="TableParagraph"/>
              <w:jc w:val="both"/>
              <w:rPr>
                <w:rFonts w:ascii="Century Gothic" w:hAnsi="Century Gothic" w:cs="Arial"/>
              </w:rPr>
            </w:pPr>
            <w:r w:rsidRPr="00D61E32">
              <w:rPr>
                <w:rFonts w:ascii="Century Gothic" w:eastAsiaTheme="minorEastAsia" w:hAnsi="Century Gothic" w:cs="Arial"/>
              </w:rPr>
              <w:t>Cigna uses MCG Guidelines for ambulatory care, inpatient and surgical care, recovery facility care, home care, and behavioral health care for coverage guidance in utilization review of services that are not addressed in a Cigna medical, or co-branded coverage policy.</w:t>
            </w:r>
          </w:p>
          <w:p w14:paraId="7C8E320E" w14:textId="77777777" w:rsidR="00E70A33" w:rsidRPr="00D61E32" w:rsidRDefault="00E70A33">
            <w:pPr>
              <w:rPr>
                <w:rFonts w:ascii="Century Gothic" w:hAnsi="Century Gothic" w:cs="Arial"/>
              </w:rPr>
            </w:pPr>
          </w:p>
          <w:p w14:paraId="42C07141" w14:textId="77777777" w:rsidR="001625EC" w:rsidRPr="00D61E32" w:rsidRDefault="001625EC">
            <w:pPr>
              <w:rPr>
                <w:rFonts w:ascii="Century Gothic" w:hAnsi="Century Gothic" w:cs="Arial"/>
                <w:i/>
                <w:iCs/>
              </w:rPr>
            </w:pPr>
            <w:r w:rsidRPr="00D61E32">
              <w:rPr>
                <w:rFonts w:ascii="Century Gothic" w:hAnsi="Century Gothic" w:cs="Arial"/>
                <w:i/>
                <w:iCs/>
              </w:rPr>
              <w:t>Higher Review</w:t>
            </w:r>
          </w:p>
          <w:p w14:paraId="6BC5AD5E" w14:textId="77777777" w:rsidR="001625EC" w:rsidRPr="00D61E32" w:rsidRDefault="001625EC">
            <w:pPr>
              <w:pStyle w:val="TableParagraph"/>
              <w:jc w:val="both"/>
              <w:rPr>
                <w:rFonts w:ascii="Century Gothic" w:hAnsi="Century Gothic" w:cs="Arial"/>
              </w:rPr>
            </w:pPr>
            <w:r w:rsidRPr="00D61E32">
              <w:rPr>
                <w:rFonts w:ascii="Century Gothic" w:hAnsi="Century Gothic" w:cs="Arial"/>
              </w:rPr>
              <w:t xml:space="preserve">If the nurse reviewer/care manager assesses the enrollee does not appear to meet medical necessity criteria for continued inpatient care, he/she refers the case to a peer reviewer (e.g. Medical Director) who reviews the clinical information and determines whether the enrollee meets criteria for continued inpatient care (i.e. peer reviewer may authorize or deny benefit authorization depending upon the information provided by the treating provider). Cigna typically authorizes 1-4 M/S inpatient days upon concurrent care review.  (See Peer to Peer Variation Analysis in Medical Necessity Section).  </w:t>
            </w:r>
          </w:p>
          <w:p w14:paraId="17B38905" w14:textId="77777777" w:rsidR="001625EC" w:rsidRPr="00D61E32" w:rsidRDefault="001625EC">
            <w:pPr>
              <w:rPr>
                <w:rFonts w:ascii="Century Gothic" w:hAnsi="Century Gothic" w:cs="Arial"/>
              </w:rPr>
            </w:pPr>
          </w:p>
          <w:p w14:paraId="5D9C39DD" w14:textId="77777777" w:rsidR="001625EC" w:rsidRPr="00D61E32" w:rsidRDefault="001625EC">
            <w:pPr>
              <w:rPr>
                <w:rFonts w:ascii="Century Gothic" w:hAnsi="Century Gothic" w:cs="Arial"/>
                <w:i/>
                <w:iCs/>
              </w:rPr>
            </w:pPr>
            <w:r w:rsidRPr="00D61E32">
              <w:rPr>
                <w:rFonts w:ascii="Century Gothic" w:hAnsi="Century Gothic" w:cs="Arial"/>
                <w:i/>
                <w:iCs/>
              </w:rPr>
              <w:t>Peer to Peer Review Variation</w:t>
            </w:r>
          </w:p>
          <w:p w14:paraId="2DC7CE77" w14:textId="74D63471" w:rsidR="001625EC" w:rsidRPr="00D61E32" w:rsidRDefault="001625EC">
            <w:pPr>
              <w:rPr>
                <w:rFonts w:ascii="Century Gothic" w:hAnsi="Century Gothic" w:cs="Arial"/>
              </w:rPr>
            </w:pPr>
            <w:r w:rsidRPr="00D61E32">
              <w:rPr>
                <w:rFonts w:ascii="Century Gothic" w:hAnsi="Century Gothic" w:cs="Arial"/>
              </w:rPr>
              <w:t xml:space="preserve">With respect to MH/SUD benefits, and in contrast to the process for performing M/S benefit reviews, Cigna ensures that any potential denial of MH/SUD benefits is preceded by a proactive offer to the provider of a peer-to-peer review for certain services including Inpatient and Outpatient All Other benefit classifications. The objectives of proactively seeking a peer-to-peer review is to minimize the risk of issuing a denial where, in fact, the enrollee’s clinical situation warrants an approval for medically necessary care yet the provider’s request may have incompletely or imprecisely stated the case for medical necessity, or, if a denial is nonetheless issued, mitigating disruption if the loss of coverage results in the enrollee moving to a different treatment type or level of care. This process is beneficial for the enrollee and results in greater approvals and fewer appeals of medical necessity denials. </w:t>
            </w:r>
          </w:p>
          <w:p w14:paraId="29961BAE" w14:textId="58A6CE28" w:rsidR="001625EC" w:rsidRPr="00D61E32" w:rsidRDefault="001625EC">
            <w:pPr>
              <w:rPr>
                <w:rFonts w:ascii="Century Gothic" w:hAnsi="Century Gothic" w:cs="Arial"/>
              </w:rPr>
            </w:pPr>
            <w:r w:rsidRPr="00D61E32">
              <w:rPr>
                <w:rFonts w:ascii="Century Gothic" w:hAnsi="Century Gothic" w:cs="Arial"/>
              </w:rPr>
              <w:t xml:space="preserve">Cigna’s medical necessity review of MH/SUD services is guided by the ASAM Criteria, MCG and Cigna’s Clinical Coverage policies and plan documents approved for use in care management determinations. Cigna’s Peer-to-Peer review program is triggered when a care manager receives clinical information that does not appear to meet the ASAM Criteria, MCG and Cigna’s Clinical Coverage policies and plan documents for initial or prior authorization for level of care requested. In this instance, care managers may offer a lower level of care to ensure there is no delay or impediment to care where the medical necessity criteria </w:t>
            </w:r>
            <w:proofErr w:type="gramStart"/>
            <w:r w:rsidRPr="00D61E32">
              <w:rPr>
                <w:rFonts w:ascii="Century Gothic" w:hAnsi="Century Gothic" w:cs="Arial"/>
              </w:rPr>
              <w:t>is</w:t>
            </w:r>
            <w:proofErr w:type="gramEnd"/>
            <w:r w:rsidRPr="00D61E32">
              <w:rPr>
                <w:rFonts w:ascii="Century Gothic" w:hAnsi="Century Gothic" w:cs="Arial"/>
              </w:rPr>
              <w:t xml:space="preserve"> met. If that level of care is not accepted by the requesting provider (treating practitioner), the case is referred to Peer-to-peer review with a behavioral health physician reviewer. </w:t>
            </w:r>
          </w:p>
          <w:p w14:paraId="597C3AD0" w14:textId="123FBF28" w:rsidR="001625EC" w:rsidRPr="00D61E32" w:rsidRDefault="001625EC">
            <w:pPr>
              <w:rPr>
                <w:rFonts w:ascii="Century Gothic" w:hAnsi="Century Gothic" w:cs="Arial"/>
              </w:rPr>
            </w:pPr>
            <w:r w:rsidRPr="00D61E32">
              <w:rPr>
                <w:rFonts w:ascii="Century Gothic" w:hAnsi="Century Gothic" w:cs="Arial"/>
              </w:rPr>
              <w:t xml:space="preserve">The Peer-to-Peer review is available for any coverage request for which Cigna anticipates issuing a denial Cigna incorporates into its MH/SUD utilization review process a requirement that – prior to issuing a denial – a Cigna clinician proactively solicit a peer-to-peer review with the rendering provider.  After completing the peer-to-peer review with the rendering provider, the Cigna Medical Director </w:t>
            </w:r>
            <w:proofErr w:type="gramStart"/>
            <w:r w:rsidRPr="00D61E32">
              <w:rPr>
                <w:rFonts w:ascii="Century Gothic" w:hAnsi="Century Gothic" w:cs="Arial"/>
              </w:rPr>
              <w:t>makes a decision</w:t>
            </w:r>
            <w:proofErr w:type="gramEnd"/>
            <w:r w:rsidRPr="00D61E32">
              <w:rPr>
                <w:rFonts w:ascii="Century Gothic" w:hAnsi="Century Gothic" w:cs="Arial"/>
              </w:rPr>
              <w:t xml:space="preserve"> to approve or deny the requested service, based on all of the clinical information provided. Peer-to-peer reviews that are declined by the requesting provider result in the Cigna Medical Director </w:t>
            </w:r>
            <w:proofErr w:type="gramStart"/>
            <w:r w:rsidRPr="00D61E32">
              <w:rPr>
                <w:rFonts w:ascii="Century Gothic" w:hAnsi="Century Gothic" w:cs="Arial"/>
              </w:rPr>
              <w:t>making a decision</w:t>
            </w:r>
            <w:proofErr w:type="gramEnd"/>
            <w:r w:rsidRPr="00D61E32">
              <w:rPr>
                <w:rFonts w:ascii="Century Gothic" w:hAnsi="Century Gothic" w:cs="Arial"/>
              </w:rPr>
              <w:t xml:space="preserve"> to approve or deny the requested service based on the clinical information that was submitted and obtained by the Cigna clinician. All reconsideration and appeal options are available if a case results in a denial, just as they are available for denials issues for an M/S request. </w:t>
            </w:r>
          </w:p>
          <w:p w14:paraId="43810D17" w14:textId="1F0E3FF9" w:rsidR="001625EC" w:rsidRPr="00D61E32" w:rsidRDefault="001625EC">
            <w:pPr>
              <w:rPr>
                <w:rFonts w:ascii="Century Gothic" w:hAnsi="Century Gothic" w:cs="Arial"/>
              </w:rPr>
            </w:pPr>
            <w:r w:rsidRPr="00D61E32">
              <w:rPr>
                <w:rFonts w:ascii="Century Gothic" w:hAnsi="Century Gothic" w:cs="Arial"/>
              </w:rPr>
              <w:t>If Cigna’s pro-active, volunteer Peer-to-Peer review were not applicable to MH/SUD services, and such services followed a similar process to the M/S benefit, services that were approved due to such Peer-to-Peer review, would have been much more likely to have resulted in a denial without additional information or discussion to meet clinical criteria.  The provider has the right to decline the peer review and move forward retaining the same rights post-decision/denial. Cigna’s pro-active Peer-to-Peer review is more favorable to the enrollee and the rendering/requesting provide resulting in a less stringent, more advantageous process for MH/SUD claims because it is proactive, as compared to the process for M/S claims whereby any peer-to-peer review is, unless otherwise required by state law, conducted reactively, i.e., if the rendering provider outreaches to Cigna.</w:t>
            </w:r>
          </w:p>
          <w:p w14:paraId="527C8022" w14:textId="00B908E1" w:rsidR="001625EC" w:rsidRPr="00D61E32" w:rsidRDefault="001625EC">
            <w:pPr>
              <w:rPr>
                <w:rFonts w:ascii="Century Gothic" w:hAnsi="Century Gothic" w:cs="Arial"/>
              </w:rPr>
            </w:pPr>
            <w:r w:rsidRPr="00D61E32">
              <w:rPr>
                <w:rFonts w:ascii="Century Gothic" w:hAnsi="Century Gothic" w:cs="Arial"/>
              </w:rPr>
              <w:t>Cigna has not identified any additional discrepancies in operational policies between MH/SUD and M/S benefits where the discrepancies present a comparability or stringency problem within the context of the NQTL requirement.  Instances where discrepancies between the process of administering MH/SUD and M/S benefits do not present an NQTL issue include, for example, situations where a discrepancy in process is more advantageous to the administration of MH/SUD benefits than M/S benefits such as the pro-active behavioral health peer-to-peer review process outlined herein. The Peer-to-Peer analysis is addressed in the “in operation” section of this submission set forth below.</w:t>
            </w:r>
          </w:p>
          <w:p w14:paraId="48AE9482" w14:textId="559655E9" w:rsidR="001625EC" w:rsidRPr="00D61E32" w:rsidRDefault="001625EC">
            <w:pPr>
              <w:rPr>
                <w:rFonts w:ascii="Century Gothic" w:hAnsi="Century Gothic" w:cs="Arial"/>
              </w:rPr>
            </w:pPr>
            <w:r w:rsidRPr="00D61E32">
              <w:rPr>
                <w:rFonts w:ascii="Century Gothic" w:hAnsi="Century Gothic" w:cs="Arial"/>
              </w:rPr>
              <w:t xml:space="preserve">Cigna regularly reviews utilization management data to evaluate and ensure operational compliance of the medical management suite of NQTLs, including Medical Necessity and Appeals, Prior Authorization and Concurrent Review. Data is reviewed by benefit classification and sub-classification to calculate denial rates to ensure comparability. Cigna’s application of the medical necessity NQTL, specifically approvals and denials rates, for Prior Authorization, Retrospective Review, and Concurrent Review across benefit classifications for a sampling of Cigna plans revealed no statistically significant discrepancies in medical necessity denial rates as-between MH/SUD and M/S benefits. Cigna utilizes appeals data to review the number of utilization review decisions across the book-of-business.  Appeals data is delineated by </w:t>
            </w:r>
            <w:proofErr w:type="gramStart"/>
            <w:r w:rsidRPr="00D61E32">
              <w:rPr>
                <w:rFonts w:ascii="Century Gothic" w:hAnsi="Century Gothic" w:cs="Arial"/>
              </w:rPr>
              <w:t>pre</w:t>
            </w:r>
            <w:proofErr w:type="gramEnd"/>
            <w:r w:rsidRPr="00D61E32">
              <w:rPr>
                <w:rFonts w:ascii="Century Gothic" w:hAnsi="Century Gothic" w:cs="Arial"/>
              </w:rPr>
              <w:t xml:space="preserve"> and post services and includes prior authorization and concurrent review, overturned for the same time period relating to the utilization management data metrics included in Cigna's book of business data. Data reflected overall comparable overturn rates across benefit classifications.  </w:t>
            </w:r>
          </w:p>
          <w:p w14:paraId="21E23CF0" w14:textId="036AB200" w:rsidR="001625EC" w:rsidRPr="00D61E32" w:rsidRDefault="001625EC">
            <w:pPr>
              <w:rPr>
                <w:rFonts w:ascii="Century Gothic" w:hAnsi="Century Gothic" w:cs="Arial"/>
              </w:rPr>
            </w:pPr>
            <w:r w:rsidRPr="00D61E32">
              <w:rPr>
                <w:rFonts w:ascii="Century Gothic" w:hAnsi="Century Gothic" w:cs="Arial"/>
              </w:rPr>
              <w:t xml:space="preserve">While the rate of appeals, where the original denial for lack of medical necessity was upheld, is higher for MH/SUD than for M/S claims, this appeal rate, coupled with the utilization management data reflecting higher Medical Necessity denial rates for M/S claims than for MH/SUD claims is representative of Cigna’s proactive approach to peer-to-peer review.  </w:t>
            </w:r>
          </w:p>
          <w:p w14:paraId="1C19911E" w14:textId="2F3B6D96" w:rsidR="001625EC" w:rsidRPr="00D61E32" w:rsidRDefault="001625EC">
            <w:pPr>
              <w:rPr>
                <w:rFonts w:ascii="Century Gothic" w:hAnsi="Century Gothic" w:cs="Arial"/>
              </w:rPr>
            </w:pPr>
            <w:r w:rsidRPr="00D61E32">
              <w:rPr>
                <w:rFonts w:ascii="Century Gothic" w:hAnsi="Century Gothic" w:cs="Arial"/>
              </w:rPr>
              <w:t>Additionally, Cigna conducts routine (occurring no less frequently than annually) Inter-Rater Reliability (IRR) testing is used to evaluate consistency of clinical decision-making across reviewers and to identify any potential revisions to coverage policies that may be warranted. Corrective action is initiated if a score falls below 85% and if the results are below 90% the Medical Director will evaluate the scores and decide whether to convene a review process with the Medical Directors/Physician Reviewers. Of note, the company’s most recent MH/SUD IRR exercise did not reveal a need to revise its coverage policies governing reviews of MH/SUD benefits.</w:t>
            </w:r>
          </w:p>
          <w:p w14:paraId="1BE0FDF3" w14:textId="77777777" w:rsidR="001625EC" w:rsidRPr="00D61E32" w:rsidRDefault="001625EC">
            <w:pPr>
              <w:rPr>
                <w:rFonts w:ascii="Century Gothic" w:hAnsi="Century Gothic" w:cs="Arial"/>
              </w:rPr>
            </w:pPr>
            <w:r w:rsidRPr="00D61E32">
              <w:rPr>
                <w:rFonts w:ascii="Century Gothic" w:hAnsi="Century Gothic" w:cs="Arial"/>
              </w:rPr>
              <w:t xml:space="preserve">The number of utilization review decisions across the Wellfleet Cigna book of business data, reflects substantially higher denial rates based upon Medical Necessity across all benefit classifications for utilization management programs including prior authorization, concurrent </w:t>
            </w:r>
            <w:proofErr w:type="gramStart"/>
            <w:r w:rsidRPr="00D61E32">
              <w:rPr>
                <w:rFonts w:ascii="Century Gothic" w:hAnsi="Century Gothic" w:cs="Arial"/>
              </w:rPr>
              <w:t>review</w:t>
            </w:r>
            <w:proofErr w:type="gramEnd"/>
            <w:r w:rsidRPr="00D61E32">
              <w:rPr>
                <w:rFonts w:ascii="Century Gothic" w:hAnsi="Century Gothic" w:cs="Arial"/>
              </w:rPr>
              <w:t xml:space="preserve"> and retrospective review with medical necessity denials for M/S services on average higher than medical necessity denials of MH/SUD services.  While operational outcomes are not determinative of NQTL compliance, and a plan may comply with the NQTL requirement notwithstanding a disparate outcome for an NQTL applied to MH/SUD benefits as compared to M/S benefits, comparable outcomes can help evidence compliance with the in-operation component of the NQTL requirement. </w:t>
            </w:r>
          </w:p>
          <w:p w14:paraId="217B02C9" w14:textId="77777777" w:rsidR="001625EC" w:rsidRPr="00D61E32" w:rsidRDefault="001625EC">
            <w:pPr>
              <w:rPr>
                <w:rFonts w:ascii="Century Gothic" w:hAnsi="Century Gothic" w:cs="Arial"/>
              </w:rPr>
            </w:pPr>
          </w:p>
          <w:p w14:paraId="072692A5" w14:textId="77777777" w:rsidR="001625EC" w:rsidRPr="00D61E32" w:rsidRDefault="001625EC">
            <w:pPr>
              <w:rPr>
                <w:rFonts w:ascii="Century Gothic" w:hAnsi="Century Gothic" w:cs="Arial"/>
              </w:rPr>
            </w:pPr>
            <w:r w:rsidRPr="00D61E32">
              <w:rPr>
                <w:rFonts w:ascii="Century Gothic" w:hAnsi="Century Gothic" w:cs="Arial"/>
                <w:i/>
              </w:rPr>
              <w:t>Minimum qualifications for reviewers</w:t>
            </w:r>
            <w:r w:rsidRPr="00D61E32">
              <w:rPr>
                <w:rFonts w:ascii="Century Gothic" w:hAnsi="Century Gothic" w:cs="Arial"/>
              </w:rPr>
              <w:t>:</w:t>
            </w:r>
          </w:p>
          <w:p w14:paraId="09218AA0" w14:textId="76E7BF6C" w:rsidR="001625EC" w:rsidRPr="00E70A33" w:rsidRDefault="001625EC">
            <w:pPr>
              <w:rPr>
                <w:rFonts w:ascii="Century Gothic" w:hAnsi="Century Gothic" w:cs="Arial"/>
              </w:rPr>
            </w:pPr>
            <w:r w:rsidRPr="00D61E32">
              <w:rPr>
                <w:rFonts w:ascii="Century Gothic" w:hAnsi="Century Gothic" w:cs="Arial"/>
              </w:rPr>
              <w:t xml:space="preserve">UM coverage determinations of M/S services are made in accordance with evidence-based treatment guidelines by physician peer reviewers licensed in the same or similar specialty area as the treating provider.  </w:t>
            </w:r>
          </w:p>
          <w:p w14:paraId="66CFE2C8" w14:textId="77777777" w:rsidR="001625EC" w:rsidRPr="00D61E32" w:rsidRDefault="001625EC">
            <w:pPr>
              <w:rPr>
                <w:rFonts w:ascii="Century Gothic" w:hAnsi="Century Gothic" w:cs="Arial"/>
              </w:rPr>
            </w:pPr>
            <w:r w:rsidRPr="00D61E32">
              <w:rPr>
                <w:rFonts w:ascii="Century Gothic" w:hAnsi="Century Gothic" w:cs="Arial"/>
                <w:i/>
              </w:rPr>
              <w:t>Minimum standards to issue a denial (e.g. sign-off from a physician with relevant board certification)</w:t>
            </w:r>
            <w:r w:rsidRPr="00D61E32">
              <w:rPr>
                <w:rFonts w:ascii="Century Gothic" w:hAnsi="Century Gothic" w:cs="Arial"/>
              </w:rPr>
              <w:t>:</w:t>
            </w:r>
          </w:p>
          <w:p w14:paraId="503BF782" w14:textId="77777777" w:rsidR="001625EC" w:rsidRPr="00D61E32" w:rsidRDefault="001625EC">
            <w:pPr>
              <w:pStyle w:val="TableParagraph"/>
              <w:jc w:val="both"/>
              <w:rPr>
                <w:rFonts w:ascii="Century Gothic" w:hAnsi="Century Gothic" w:cs="Arial"/>
              </w:rPr>
            </w:pPr>
            <w:r w:rsidRPr="00D61E32">
              <w:rPr>
                <w:rFonts w:ascii="Century Gothic" w:hAnsi="Century Gothic" w:cs="Arial"/>
              </w:rPr>
              <w:t xml:space="preserve">If the nurse reviewer/care manager determines the enrollee meets criteria for continued inpatient care, he/she authorizes the services at issue. </w:t>
            </w:r>
          </w:p>
          <w:p w14:paraId="279322CD" w14:textId="77777777" w:rsidR="001625EC" w:rsidRPr="00D61E32" w:rsidRDefault="001625EC">
            <w:pPr>
              <w:pStyle w:val="TableParagraph"/>
              <w:jc w:val="both"/>
              <w:rPr>
                <w:rFonts w:ascii="Century Gothic" w:hAnsi="Century Gothic" w:cs="Arial"/>
              </w:rPr>
            </w:pPr>
          </w:p>
          <w:p w14:paraId="52AACD84" w14:textId="77777777" w:rsidR="001625EC" w:rsidRPr="00D61E32" w:rsidRDefault="001625EC">
            <w:pPr>
              <w:pStyle w:val="TableParagraph"/>
              <w:jc w:val="both"/>
              <w:rPr>
                <w:rFonts w:ascii="Century Gothic" w:hAnsi="Century Gothic" w:cs="Arial"/>
              </w:rPr>
            </w:pPr>
            <w:r w:rsidRPr="00D61E32">
              <w:rPr>
                <w:rFonts w:ascii="Century Gothic" w:hAnsi="Century Gothic" w:cs="Arial"/>
              </w:rPr>
              <w:t xml:space="preserve">If the nurse reviewer/care manager assesses the enrollee does not appear to meet medical necessity criteria for continued inpatient care, he/she refers the case to a peer reviewer (e.g. Medical Director) who reviews the clinical information and determines whether the enrollee meets criteria for continued inpatient care (i.e. peer reviewer may authorize or deny benefit authorization depending upon the information provided by the treating provider). Cigna typically authorizes 1-4 M/S inpatient days upon concurrent care review.  (See Peer to Peer Variation Analysis in Section above).  </w:t>
            </w:r>
          </w:p>
          <w:p w14:paraId="7D9B1FE2" w14:textId="77777777" w:rsidR="001625EC" w:rsidRPr="00D61E32" w:rsidRDefault="001625EC">
            <w:pPr>
              <w:rPr>
                <w:rFonts w:ascii="Century Gothic" w:eastAsia="Times New Roman" w:hAnsi="Century Gothic" w:cs="Arial"/>
              </w:rPr>
            </w:pPr>
          </w:p>
        </w:tc>
        <w:tc>
          <w:tcPr>
            <w:tcW w:w="2500" w:type="pct"/>
            <w:tcBorders>
              <w:top w:val="single" w:sz="4" w:space="0" w:color="auto"/>
              <w:left w:val="single" w:sz="4" w:space="0" w:color="auto"/>
              <w:bottom w:val="single" w:sz="4" w:space="0" w:color="auto"/>
              <w:right w:val="single" w:sz="4" w:space="0" w:color="auto"/>
            </w:tcBorders>
          </w:tcPr>
          <w:p w14:paraId="70BF6718" w14:textId="0BA24020" w:rsidR="001625EC" w:rsidRPr="00E70A33" w:rsidRDefault="001625EC">
            <w:pPr>
              <w:rPr>
                <w:rFonts w:ascii="Century Gothic" w:eastAsia="Times New Roman" w:hAnsi="Century Gothic" w:cs="Arial"/>
              </w:rPr>
            </w:pPr>
            <w:r w:rsidRPr="00D61E32">
              <w:rPr>
                <w:rFonts w:ascii="Century Gothic" w:eastAsia="Times New Roman" w:hAnsi="Century Gothic" w:cs="Arial"/>
                <w:b/>
                <w:i/>
              </w:rPr>
              <w:t>Step 4(a): Briefly describe the processes by which Concurrent Review is applied to MH/SUD benefits</w:t>
            </w:r>
            <w:r w:rsidR="00E70A33">
              <w:rPr>
                <w:rFonts w:ascii="Century Gothic" w:eastAsia="Times New Roman" w:hAnsi="Century Gothic" w:cs="Arial"/>
              </w:rPr>
              <w:t>:</w:t>
            </w:r>
          </w:p>
          <w:p w14:paraId="79E2E44C" w14:textId="77777777" w:rsidR="001625EC" w:rsidRPr="00D61E32" w:rsidRDefault="001625EC">
            <w:pPr>
              <w:rPr>
                <w:rFonts w:ascii="Century Gothic" w:hAnsi="Century Gothic" w:cs="Arial"/>
                <w:iCs/>
              </w:rPr>
            </w:pPr>
            <w:r w:rsidRPr="00D61E32">
              <w:rPr>
                <w:rFonts w:ascii="Century Gothic" w:hAnsi="Century Gothic" w:cs="Arial"/>
                <w:iCs/>
              </w:rPr>
              <w:t>Timelines and deadlines, including the frequency with which re-authorizations are required:</w:t>
            </w:r>
          </w:p>
          <w:p w14:paraId="63FC2F41" w14:textId="77777777" w:rsidR="001625EC" w:rsidRPr="00D61E32" w:rsidRDefault="001625EC">
            <w:pPr>
              <w:pStyle w:val="TableParagraph"/>
              <w:jc w:val="both"/>
              <w:rPr>
                <w:rFonts w:ascii="Century Gothic" w:eastAsiaTheme="minorEastAsia" w:hAnsi="Century Gothic" w:cs="Arial"/>
              </w:rPr>
            </w:pPr>
            <w:r w:rsidRPr="00D61E32">
              <w:rPr>
                <w:rFonts w:ascii="Century Gothic" w:hAnsi="Century Gothic" w:cs="Arial"/>
                <w:i/>
                <w:iCs/>
              </w:rPr>
              <w:t xml:space="preserve">Initiating Inpatient Concurrent Care Review – </w:t>
            </w:r>
            <w:r w:rsidRPr="00D61E32">
              <w:rPr>
                <w:rFonts w:ascii="Century Gothic" w:hAnsi="Century Gothic" w:cs="Arial"/>
              </w:rPr>
              <w:t>Same as M/S</w:t>
            </w:r>
          </w:p>
          <w:p w14:paraId="5CADC367" w14:textId="77777777" w:rsidR="001625EC" w:rsidRPr="00D61E32" w:rsidRDefault="001625EC">
            <w:pPr>
              <w:rPr>
                <w:rFonts w:ascii="Century Gothic" w:hAnsi="Century Gothic" w:cs="Arial"/>
              </w:rPr>
            </w:pPr>
            <w:r w:rsidRPr="00D61E32">
              <w:rPr>
                <w:rFonts w:ascii="Century Gothic" w:hAnsi="Century Gothic" w:cs="Arial"/>
              </w:rPr>
              <w:t xml:space="preserve"> </w:t>
            </w:r>
          </w:p>
          <w:p w14:paraId="112E2AC0" w14:textId="77777777" w:rsidR="001625EC" w:rsidRPr="00D61E32" w:rsidRDefault="001625EC">
            <w:pPr>
              <w:rPr>
                <w:rFonts w:ascii="Century Gothic" w:hAnsi="Century Gothic" w:cs="Arial"/>
              </w:rPr>
            </w:pPr>
          </w:p>
          <w:p w14:paraId="332AC38B" w14:textId="77777777" w:rsidR="001625EC" w:rsidRPr="00D61E32" w:rsidRDefault="001625EC">
            <w:pPr>
              <w:rPr>
                <w:rFonts w:ascii="Century Gothic" w:hAnsi="Century Gothic" w:cs="Arial"/>
              </w:rPr>
            </w:pPr>
          </w:p>
          <w:p w14:paraId="0A9C8364" w14:textId="77777777" w:rsidR="001625EC" w:rsidRPr="00D61E32" w:rsidRDefault="001625EC">
            <w:pPr>
              <w:rPr>
                <w:rFonts w:ascii="Century Gothic" w:hAnsi="Century Gothic" w:cs="Arial"/>
                <w:b/>
                <w:bCs/>
              </w:rPr>
            </w:pPr>
          </w:p>
          <w:p w14:paraId="31694947" w14:textId="77777777" w:rsidR="001625EC" w:rsidRPr="00D61E32" w:rsidRDefault="001625EC">
            <w:pPr>
              <w:rPr>
                <w:rFonts w:ascii="Century Gothic" w:hAnsi="Century Gothic" w:cs="Arial"/>
                <w:b/>
                <w:bCs/>
              </w:rPr>
            </w:pPr>
          </w:p>
          <w:p w14:paraId="2F2CFA3E" w14:textId="77777777" w:rsidR="001625EC" w:rsidRPr="00D61E32" w:rsidRDefault="001625EC">
            <w:pPr>
              <w:rPr>
                <w:rFonts w:ascii="Century Gothic" w:hAnsi="Century Gothic" w:cs="Arial"/>
                <w:b/>
                <w:bCs/>
              </w:rPr>
            </w:pPr>
          </w:p>
          <w:p w14:paraId="6B88E101" w14:textId="77777777" w:rsidR="001625EC" w:rsidRDefault="001625EC">
            <w:pPr>
              <w:rPr>
                <w:rFonts w:ascii="Century Gothic" w:hAnsi="Century Gothic" w:cs="Arial"/>
                <w:b/>
                <w:bCs/>
              </w:rPr>
            </w:pPr>
          </w:p>
          <w:p w14:paraId="35855322" w14:textId="77777777" w:rsidR="00E70A33" w:rsidRPr="00D61E32" w:rsidRDefault="00E70A33">
            <w:pPr>
              <w:rPr>
                <w:rFonts w:ascii="Century Gothic" w:hAnsi="Century Gothic" w:cs="Arial"/>
                <w:b/>
                <w:bCs/>
              </w:rPr>
            </w:pPr>
          </w:p>
          <w:p w14:paraId="7D2CE450" w14:textId="77777777" w:rsidR="001625EC" w:rsidRPr="00D61E32" w:rsidRDefault="001625EC">
            <w:pPr>
              <w:rPr>
                <w:rFonts w:ascii="Century Gothic" w:hAnsi="Century Gothic" w:cs="Arial"/>
                <w:i/>
                <w:iCs/>
              </w:rPr>
            </w:pPr>
            <w:r w:rsidRPr="00D61E32">
              <w:rPr>
                <w:rFonts w:ascii="Century Gothic" w:hAnsi="Century Gothic" w:cs="Arial"/>
                <w:i/>
                <w:iCs/>
              </w:rPr>
              <w:t>Criteria</w:t>
            </w:r>
          </w:p>
          <w:p w14:paraId="459E6139" w14:textId="762336D9" w:rsidR="001625EC" w:rsidRPr="00E70A33" w:rsidRDefault="001625EC" w:rsidP="00E70A33">
            <w:pPr>
              <w:spacing w:line="256" w:lineRule="auto"/>
              <w:jc w:val="both"/>
              <w:rPr>
                <w:rFonts w:ascii="Century Gothic" w:eastAsiaTheme="minorEastAsia" w:hAnsi="Century Gothic" w:cs="Arial"/>
              </w:rPr>
            </w:pPr>
            <w:r w:rsidRPr="00D61E32">
              <w:rPr>
                <w:rFonts w:ascii="Century Gothic" w:eastAsiaTheme="minorEastAsia" w:hAnsi="Century Gothic" w:cs="Arial"/>
              </w:rPr>
              <w:t>Cigna uses MCG for non-SUD primary diagnosis of behavioral health level of care and Cigna uses ASAM Criteria for coverage guidance in utilization review level of care of SUD services.</w:t>
            </w:r>
          </w:p>
          <w:p w14:paraId="6A3AA425" w14:textId="77777777" w:rsidR="00E70A33" w:rsidRDefault="00E70A33">
            <w:pPr>
              <w:rPr>
                <w:rFonts w:ascii="Century Gothic" w:hAnsi="Century Gothic" w:cs="Arial"/>
                <w:i/>
                <w:iCs/>
              </w:rPr>
            </w:pPr>
          </w:p>
          <w:p w14:paraId="3F555D9E" w14:textId="77777777" w:rsidR="00E70A33" w:rsidRDefault="00E70A33">
            <w:pPr>
              <w:rPr>
                <w:rFonts w:ascii="Century Gothic" w:hAnsi="Century Gothic" w:cs="Arial"/>
                <w:i/>
                <w:iCs/>
              </w:rPr>
            </w:pPr>
          </w:p>
          <w:p w14:paraId="680492DC" w14:textId="66B816F3" w:rsidR="001625EC" w:rsidRPr="00D61E32" w:rsidRDefault="001625EC">
            <w:pPr>
              <w:rPr>
                <w:rFonts w:ascii="Century Gothic" w:hAnsi="Century Gothic" w:cs="Arial"/>
                <w:i/>
                <w:iCs/>
              </w:rPr>
            </w:pPr>
            <w:r w:rsidRPr="00D61E32">
              <w:rPr>
                <w:rFonts w:ascii="Century Gothic" w:hAnsi="Century Gothic" w:cs="Arial"/>
                <w:i/>
                <w:iCs/>
              </w:rPr>
              <w:t>Higher Review</w:t>
            </w:r>
          </w:p>
          <w:p w14:paraId="4246AD3A" w14:textId="48F53B1C" w:rsidR="001625EC" w:rsidRDefault="001625EC" w:rsidP="00E70A33">
            <w:pPr>
              <w:pStyle w:val="TableParagraph"/>
              <w:jc w:val="both"/>
              <w:rPr>
                <w:rFonts w:ascii="Century Gothic" w:hAnsi="Century Gothic" w:cs="Arial"/>
              </w:rPr>
            </w:pPr>
            <w:r w:rsidRPr="00D61E32">
              <w:rPr>
                <w:rFonts w:ascii="Century Gothic" w:hAnsi="Century Gothic" w:cs="Arial"/>
              </w:rPr>
              <w:t xml:space="preserve">If the nurse reviewer/care manager assesses the enrollee does not appear to meet medical necessity criteria for continued inpatient care, he/she refers the case to a peer reviewer (e.g. Medical Director) who conducts a peer-to-peer review with the treating provider. The peer reviewer reviews the clinical information and determines whether the enrollee meets criteria for continued inpatient care (i.e. peer reviewer may authorize or deny benefit authorization depending upon the information provided by the treating provider). Cigna typically authorizes 1-6 MH/SUD inpatient days upon concurrent care review. (See Peer to Peer Variation Analysis in Medical Necessity Section).  </w:t>
            </w:r>
          </w:p>
          <w:p w14:paraId="4F9FF09A" w14:textId="77777777" w:rsidR="00E70A33" w:rsidRPr="00D61E32" w:rsidRDefault="00E70A33" w:rsidP="00E70A33">
            <w:pPr>
              <w:pStyle w:val="TableParagraph"/>
              <w:jc w:val="both"/>
              <w:rPr>
                <w:rFonts w:ascii="Century Gothic" w:hAnsi="Century Gothic" w:cs="Arial"/>
              </w:rPr>
            </w:pPr>
          </w:p>
          <w:p w14:paraId="2C705B98" w14:textId="77777777" w:rsidR="001625EC" w:rsidRPr="00D61E32" w:rsidRDefault="001625EC">
            <w:pPr>
              <w:rPr>
                <w:rFonts w:ascii="Century Gothic" w:hAnsi="Century Gothic" w:cs="Arial"/>
                <w:i/>
                <w:iCs/>
              </w:rPr>
            </w:pPr>
            <w:r w:rsidRPr="00D61E32">
              <w:rPr>
                <w:rFonts w:ascii="Century Gothic" w:hAnsi="Century Gothic" w:cs="Arial"/>
                <w:i/>
                <w:iCs/>
              </w:rPr>
              <w:t xml:space="preserve">Peer to Peer Review Variation – </w:t>
            </w:r>
            <w:r w:rsidRPr="00D61E32">
              <w:rPr>
                <w:rFonts w:ascii="Century Gothic" w:hAnsi="Century Gothic" w:cs="Arial"/>
              </w:rPr>
              <w:t>Same as M/S (see analysis in M/S column)</w:t>
            </w:r>
            <w:r w:rsidRPr="00D61E32">
              <w:rPr>
                <w:rFonts w:ascii="Century Gothic" w:hAnsi="Century Gothic" w:cs="Arial"/>
                <w:i/>
                <w:iCs/>
              </w:rPr>
              <w:t xml:space="preserve"> </w:t>
            </w:r>
          </w:p>
          <w:p w14:paraId="6D76A1AB" w14:textId="77777777" w:rsidR="001625EC" w:rsidRPr="00D61E32" w:rsidRDefault="001625EC">
            <w:pPr>
              <w:rPr>
                <w:rFonts w:ascii="Century Gothic" w:hAnsi="Century Gothic" w:cs="Arial"/>
              </w:rPr>
            </w:pPr>
          </w:p>
          <w:p w14:paraId="7B2519F3" w14:textId="77777777" w:rsidR="001625EC" w:rsidRPr="00D61E32" w:rsidRDefault="001625EC">
            <w:pPr>
              <w:rPr>
                <w:rFonts w:ascii="Century Gothic" w:hAnsi="Century Gothic" w:cs="Arial"/>
              </w:rPr>
            </w:pPr>
          </w:p>
          <w:p w14:paraId="596170CB" w14:textId="77777777" w:rsidR="001625EC" w:rsidRPr="00D61E32" w:rsidRDefault="001625EC">
            <w:pPr>
              <w:rPr>
                <w:rFonts w:ascii="Century Gothic" w:hAnsi="Century Gothic" w:cs="Arial"/>
              </w:rPr>
            </w:pPr>
          </w:p>
          <w:p w14:paraId="0A30FCC8" w14:textId="77777777" w:rsidR="001625EC" w:rsidRPr="00D61E32" w:rsidRDefault="001625EC">
            <w:pPr>
              <w:rPr>
                <w:rFonts w:ascii="Century Gothic" w:hAnsi="Century Gothic" w:cs="Arial"/>
              </w:rPr>
            </w:pPr>
          </w:p>
          <w:p w14:paraId="145E40C0" w14:textId="77777777" w:rsidR="001625EC" w:rsidRPr="00D61E32" w:rsidRDefault="001625EC">
            <w:pPr>
              <w:rPr>
                <w:rFonts w:ascii="Century Gothic" w:hAnsi="Century Gothic" w:cs="Arial"/>
              </w:rPr>
            </w:pPr>
          </w:p>
          <w:p w14:paraId="7EE6D326" w14:textId="77777777" w:rsidR="001625EC" w:rsidRPr="00D61E32" w:rsidRDefault="001625EC">
            <w:pPr>
              <w:rPr>
                <w:rFonts w:ascii="Century Gothic" w:hAnsi="Century Gothic" w:cs="Arial"/>
                <w:b/>
                <w:bCs/>
              </w:rPr>
            </w:pPr>
          </w:p>
          <w:p w14:paraId="783F4AFE" w14:textId="77777777" w:rsidR="001625EC" w:rsidRPr="00D61E32" w:rsidRDefault="001625EC">
            <w:pPr>
              <w:rPr>
                <w:rFonts w:ascii="Century Gothic" w:hAnsi="Century Gothic" w:cs="Arial"/>
                <w:b/>
                <w:bCs/>
              </w:rPr>
            </w:pPr>
          </w:p>
          <w:p w14:paraId="2F2CEB95" w14:textId="77777777" w:rsidR="001625EC" w:rsidRPr="00D61E32" w:rsidRDefault="001625EC">
            <w:pPr>
              <w:rPr>
                <w:rFonts w:ascii="Century Gothic" w:hAnsi="Century Gothic" w:cs="Arial"/>
                <w:b/>
                <w:bCs/>
              </w:rPr>
            </w:pPr>
          </w:p>
          <w:p w14:paraId="69568FF6" w14:textId="77777777" w:rsidR="001625EC" w:rsidRPr="00D61E32" w:rsidRDefault="001625EC">
            <w:pPr>
              <w:rPr>
                <w:rFonts w:ascii="Century Gothic" w:hAnsi="Century Gothic" w:cs="Arial"/>
                <w:b/>
                <w:bCs/>
              </w:rPr>
            </w:pPr>
          </w:p>
          <w:p w14:paraId="38DDD298" w14:textId="77777777" w:rsidR="001625EC" w:rsidRPr="00D61E32" w:rsidRDefault="001625EC">
            <w:pPr>
              <w:rPr>
                <w:rFonts w:ascii="Century Gothic" w:hAnsi="Century Gothic" w:cs="Arial"/>
                <w:b/>
                <w:bCs/>
              </w:rPr>
            </w:pPr>
          </w:p>
          <w:p w14:paraId="30E4DF38" w14:textId="77777777" w:rsidR="001625EC" w:rsidRPr="00D61E32" w:rsidRDefault="001625EC">
            <w:pPr>
              <w:rPr>
                <w:rFonts w:ascii="Century Gothic" w:hAnsi="Century Gothic" w:cs="Arial"/>
                <w:b/>
                <w:bCs/>
              </w:rPr>
            </w:pPr>
          </w:p>
          <w:p w14:paraId="5754448E" w14:textId="77777777" w:rsidR="001625EC" w:rsidRPr="00D61E32" w:rsidRDefault="001625EC">
            <w:pPr>
              <w:rPr>
                <w:rFonts w:ascii="Century Gothic" w:hAnsi="Century Gothic" w:cs="Arial"/>
                <w:b/>
                <w:bCs/>
              </w:rPr>
            </w:pPr>
          </w:p>
          <w:p w14:paraId="56D6D3ED" w14:textId="77777777" w:rsidR="001625EC" w:rsidRPr="00D61E32" w:rsidRDefault="001625EC">
            <w:pPr>
              <w:rPr>
                <w:rFonts w:ascii="Century Gothic" w:hAnsi="Century Gothic" w:cs="Arial"/>
                <w:b/>
                <w:bCs/>
              </w:rPr>
            </w:pPr>
          </w:p>
          <w:p w14:paraId="0A8D0ADC" w14:textId="77777777" w:rsidR="001625EC" w:rsidRPr="00D61E32" w:rsidRDefault="001625EC">
            <w:pPr>
              <w:rPr>
                <w:rFonts w:ascii="Century Gothic" w:hAnsi="Century Gothic" w:cs="Arial"/>
                <w:b/>
                <w:bCs/>
              </w:rPr>
            </w:pPr>
          </w:p>
          <w:p w14:paraId="5FE652A4" w14:textId="77777777" w:rsidR="001625EC" w:rsidRPr="00D61E32" w:rsidRDefault="001625EC">
            <w:pPr>
              <w:rPr>
                <w:rFonts w:ascii="Century Gothic" w:hAnsi="Century Gothic" w:cs="Arial"/>
                <w:b/>
                <w:bCs/>
              </w:rPr>
            </w:pPr>
          </w:p>
          <w:p w14:paraId="21FD4AAD" w14:textId="77777777" w:rsidR="001625EC" w:rsidRPr="00D61E32" w:rsidRDefault="001625EC">
            <w:pPr>
              <w:rPr>
                <w:rFonts w:ascii="Century Gothic" w:hAnsi="Century Gothic" w:cs="Arial"/>
                <w:b/>
                <w:bCs/>
              </w:rPr>
            </w:pPr>
          </w:p>
          <w:p w14:paraId="0D26944F" w14:textId="77777777" w:rsidR="001625EC" w:rsidRPr="00D61E32" w:rsidRDefault="001625EC">
            <w:pPr>
              <w:rPr>
                <w:rFonts w:ascii="Century Gothic" w:hAnsi="Century Gothic" w:cs="Arial"/>
                <w:b/>
                <w:bCs/>
              </w:rPr>
            </w:pPr>
          </w:p>
          <w:p w14:paraId="1C145CCA" w14:textId="77777777" w:rsidR="001625EC" w:rsidRPr="00D61E32" w:rsidRDefault="001625EC">
            <w:pPr>
              <w:rPr>
                <w:rFonts w:ascii="Century Gothic" w:hAnsi="Century Gothic" w:cs="Arial"/>
                <w:b/>
                <w:bCs/>
              </w:rPr>
            </w:pPr>
          </w:p>
          <w:p w14:paraId="54386CCD" w14:textId="77777777" w:rsidR="001625EC" w:rsidRPr="00D61E32" w:rsidRDefault="001625EC">
            <w:pPr>
              <w:rPr>
                <w:rFonts w:ascii="Century Gothic" w:hAnsi="Century Gothic" w:cs="Arial"/>
                <w:b/>
                <w:bCs/>
              </w:rPr>
            </w:pPr>
          </w:p>
          <w:p w14:paraId="13B2CFE3" w14:textId="77777777" w:rsidR="001625EC" w:rsidRPr="00D61E32" w:rsidRDefault="001625EC">
            <w:pPr>
              <w:rPr>
                <w:rFonts w:ascii="Century Gothic" w:hAnsi="Century Gothic" w:cs="Arial"/>
                <w:b/>
                <w:bCs/>
              </w:rPr>
            </w:pPr>
          </w:p>
          <w:p w14:paraId="4DDE0205" w14:textId="77777777" w:rsidR="001625EC" w:rsidRPr="00D61E32" w:rsidRDefault="001625EC">
            <w:pPr>
              <w:rPr>
                <w:rFonts w:ascii="Century Gothic" w:hAnsi="Century Gothic" w:cs="Arial"/>
                <w:b/>
                <w:bCs/>
              </w:rPr>
            </w:pPr>
          </w:p>
          <w:p w14:paraId="59004964" w14:textId="77777777" w:rsidR="001625EC" w:rsidRPr="00D61E32" w:rsidRDefault="001625EC">
            <w:pPr>
              <w:rPr>
                <w:rFonts w:ascii="Century Gothic" w:hAnsi="Century Gothic" w:cs="Arial"/>
                <w:b/>
                <w:bCs/>
              </w:rPr>
            </w:pPr>
          </w:p>
          <w:p w14:paraId="7B0C576B" w14:textId="77777777" w:rsidR="001625EC" w:rsidRPr="00D61E32" w:rsidRDefault="001625EC">
            <w:pPr>
              <w:rPr>
                <w:rFonts w:ascii="Century Gothic" w:hAnsi="Century Gothic" w:cs="Arial"/>
                <w:b/>
                <w:bCs/>
              </w:rPr>
            </w:pPr>
          </w:p>
          <w:p w14:paraId="238298C3" w14:textId="77777777" w:rsidR="001625EC" w:rsidRPr="00D61E32" w:rsidRDefault="001625EC">
            <w:pPr>
              <w:rPr>
                <w:rFonts w:ascii="Century Gothic" w:hAnsi="Century Gothic" w:cs="Arial"/>
                <w:b/>
                <w:bCs/>
              </w:rPr>
            </w:pPr>
          </w:p>
          <w:p w14:paraId="642B321A" w14:textId="77777777" w:rsidR="001625EC" w:rsidRPr="00D61E32" w:rsidRDefault="001625EC">
            <w:pPr>
              <w:rPr>
                <w:rFonts w:ascii="Century Gothic" w:hAnsi="Century Gothic" w:cs="Arial"/>
                <w:b/>
                <w:bCs/>
              </w:rPr>
            </w:pPr>
          </w:p>
          <w:p w14:paraId="682DF14D" w14:textId="77777777" w:rsidR="001625EC" w:rsidRPr="00D61E32" w:rsidRDefault="001625EC">
            <w:pPr>
              <w:rPr>
                <w:rFonts w:ascii="Century Gothic" w:hAnsi="Century Gothic" w:cs="Arial"/>
                <w:b/>
                <w:bCs/>
              </w:rPr>
            </w:pPr>
          </w:p>
          <w:p w14:paraId="458EF95A" w14:textId="77777777" w:rsidR="001625EC" w:rsidRPr="00D61E32" w:rsidRDefault="001625EC">
            <w:pPr>
              <w:rPr>
                <w:rFonts w:ascii="Century Gothic" w:hAnsi="Century Gothic" w:cs="Arial"/>
                <w:b/>
                <w:bCs/>
              </w:rPr>
            </w:pPr>
          </w:p>
          <w:p w14:paraId="1900DE7E" w14:textId="77777777" w:rsidR="001625EC" w:rsidRPr="00D61E32" w:rsidRDefault="001625EC">
            <w:pPr>
              <w:rPr>
                <w:rFonts w:ascii="Century Gothic" w:hAnsi="Century Gothic" w:cs="Arial"/>
                <w:b/>
                <w:bCs/>
              </w:rPr>
            </w:pPr>
          </w:p>
          <w:p w14:paraId="516457B9" w14:textId="77777777" w:rsidR="001625EC" w:rsidRPr="00D61E32" w:rsidRDefault="001625EC">
            <w:pPr>
              <w:rPr>
                <w:rFonts w:ascii="Century Gothic" w:hAnsi="Century Gothic" w:cs="Arial"/>
                <w:b/>
                <w:bCs/>
              </w:rPr>
            </w:pPr>
          </w:p>
          <w:p w14:paraId="118626C8" w14:textId="77777777" w:rsidR="001625EC" w:rsidRPr="00D61E32" w:rsidRDefault="001625EC">
            <w:pPr>
              <w:rPr>
                <w:rFonts w:ascii="Century Gothic" w:hAnsi="Century Gothic" w:cs="Arial"/>
                <w:b/>
                <w:bCs/>
              </w:rPr>
            </w:pPr>
          </w:p>
          <w:p w14:paraId="628A8093" w14:textId="77777777" w:rsidR="001625EC" w:rsidRPr="00D61E32" w:rsidRDefault="001625EC">
            <w:pPr>
              <w:rPr>
                <w:rFonts w:ascii="Century Gothic" w:hAnsi="Century Gothic" w:cs="Arial"/>
                <w:b/>
                <w:bCs/>
              </w:rPr>
            </w:pPr>
          </w:p>
          <w:p w14:paraId="767370E6" w14:textId="77777777" w:rsidR="001625EC" w:rsidRPr="00D61E32" w:rsidRDefault="001625EC">
            <w:pPr>
              <w:rPr>
                <w:rFonts w:ascii="Century Gothic" w:hAnsi="Century Gothic" w:cs="Arial"/>
                <w:b/>
                <w:bCs/>
              </w:rPr>
            </w:pPr>
          </w:p>
          <w:p w14:paraId="45BF1E2B" w14:textId="77777777" w:rsidR="001625EC" w:rsidRPr="00D61E32" w:rsidRDefault="001625EC">
            <w:pPr>
              <w:rPr>
                <w:rFonts w:ascii="Century Gothic" w:hAnsi="Century Gothic" w:cs="Arial"/>
                <w:b/>
                <w:bCs/>
              </w:rPr>
            </w:pPr>
          </w:p>
          <w:p w14:paraId="4FF51FC7" w14:textId="77777777" w:rsidR="001625EC" w:rsidRPr="00D61E32" w:rsidRDefault="001625EC">
            <w:pPr>
              <w:rPr>
                <w:rFonts w:ascii="Century Gothic" w:hAnsi="Century Gothic" w:cs="Arial"/>
                <w:b/>
                <w:bCs/>
              </w:rPr>
            </w:pPr>
          </w:p>
          <w:p w14:paraId="09D0EC10" w14:textId="77777777" w:rsidR="001625EC" w:rsidRPr="00D61E32" w:rsidRDefault="001625EC">
            <w:pPr>
              <w:rPr>
                <w:rFonts w:ascii="Century Gothic" w:hAnsi="Century Gothic" w:cs="Arial"/>
                <w:b/>
                <w:bCs/>
              </w:rPr>
            </w:pPr>
          </w:p>
          <w:p w14:paraId="2EFCE254" w14:textId="77777777" w:rsidR="001625EC" w:rsidRPr="00D61E32" w:rsidRDefault="001625EC">
            <w:pPr>
              <w:rPr>
                <w:rFonts w:ascii="Century Gothic" w:hAnsi="Century Gothic" w:cs="Arial"/>
                <w:b/>
                <w:bCs/>
              </w:rPr>
            </w:pPr>
          </w:p>
          <w:p w14:paraId="3683730E" w14:textId="77777777" w:rsidR="001625EC" w:rsidRPr="00D61E32" w:rsidRDefault="001625EC">
            <w:pPr>
              <w:rPr>
                <w:rFonts w:ascii="Century Gothic" w:hAnsi="Century Gothic" w:cs="Arial"/>
                <w:b/>
                <w:bCs/>
              </w:rPr>
            </w:pPr>
          </w:p>
          <w:p w14:paraId="6BE19EF3" w14:textId="77777777" w:rsidR="001625EC" w:rsidRPr="00D61E32" w:rsidRDefault="001625EC">
            <w:pPr>
              <w:rPr>
                <w:rFonts w:ascii="Century Gothic" w:hAnsi="Century Gothic" w:cs="Arial"/>
                <w:b/>
                <w:bCs/>
              </w:rPr>
            </w:pPr>
          </w:p>
          <w:p w14:paraId="499BB954" w14:textId="77777777" w:rsidR="001625EC" w:rsidRPr="00D61E32" w:rsidRDefault="001625EC">
            <w:pPr>
              <w:rPr>
                <w:rFonts w:ascii="Century Gothic" w:hAnsi="Century Gothic" w:cs="Arial"/>
                <w:b/>
                <w:bCs/>
              </w:rPr>
            </w:pPr>
          </w:p>
          <w:p w14:paraId="76219877" w14:textId="77777777" w:rsidR="001625EC" w:rsidRPr="00D61E32" w:rsidRDefault="001625EC">
            <w:pPr>
              <w:rPr>
                <w:rFonts w:ascii="Century Gothic" w:hAnsi="Century Gothic" w:cs="Arial"/>
                <w:b/>
                <w:bCs/>
              </w:rPr>
            </w:pPr>
          </w:p>
          <w:p w14:paraId="01E2FBFB" w14:textId="77777777" w:rsidR="001625EC" w:rsidRPr="00D61E32" w:rsidRDefault="001625EC">
            <w:pPr>
              <w:rPr>
                <w:rFonts w:ascii="Century Gothic" w:hAnsi="Century Gothic" w:cs="Arial"/>
                <w:b/>
                <w:bCs/>
              </w:rPr>
            </w:pPr>
          </w:p>
          <w:p w14:paraId="7BE96B47" w14:textId="77777777" w:rsidR="001625EC" w:rsidRPr="00D61E32" w:rsidRDefault="001625EC">
            <w:pPr>
              <w:rPr>
                <w:rFonts w:ascii="Century Gothic" w:hAnsi="Century Gothic" w:cs="Arial"/>
                <w:b/>
                <w:bCs/>
              </w:rPr>
            </w:pPr>
          </w:p>
          <w:p w14:paraId="44C56B3F" w14:textId="77777777" w:rsidR="001625EC" w:rsidRPr="00D61E32" w:rsidRDefault="001625EC">
            <w:pPr>
              <w:rPr>
                <w:rFonts w:ascii="Century Gothic" w:hAnsi="Century Gothic" w:cs="Arial"/>
                <w:b/>
                <w:bCs/>
              </w:rPr>
            </w:pPr>
          </w:p>
          <w:p w14:paraId="64B02261" w14:textId="77777777" w:rsidR="001625EC" w:rsidRPr="00D61E32" w:rsidRDefault="001625EC">
            <w:pPr>
              <w:rPr>
                <w:rFonts w:ascii="Century Gothic" w:hAnsi="Century Gothic" w:cs="Arial"/>
                <w:b/>
                <w:bCs/>
              </w:rPr>
            </w:pPr>
          </w:p>
          <w:p w14:paraId="5423E2EA" w14:textId="77777777" w:rsidR="001625EC" w:rsidRPr="00D61E32" w:rsidRDefault="001625EC">
            <w:pPr>
              <w:rPr>
                <w:rFonts w:ascii="Century Gothic" w:hAnsi="Century Gothic" w:cs="Arial"/>
                <w:b/>
                <w:bCs/>
              </w:rPr>
            </w:pPr>
          </w:p>
          <w:p w14:paraId="7FC518A0" w14:textId="77777777" w:rsidR="001625EC" w:rsidRPr="00D61E32" w:rsidRDefault="001625EC">
            <w:pPr>
              <w:rPr>
                <w:rFonts w:ascii="Century Gothic" w:hAnsi="Century Gothic" w:cs="Arial"/>
                <w:b/>
                <w:bCs/>
              </w:rPr>
            </w:pPr>
          </w:p>
          <w:p w14:paraId="474EA85D" w14:textId="77777777" w:rsidR="001625EC" w:rsidRPr="00D61E32" w:rsidRDefault="001625EC">
            <w:pPr>
              <w:rPr>
                <w:rFonts w:ascii="Century Gothic" w:hAnsi="Century Gothic" w:cs="Arial"/>
                <w:b/>
                <w:bCs/>
              </w:rPr>
            </w:pPr>
          </w:p>
          <w:p w14:paraId="2F9DC38A" w14:textId="77777777" w:rsidR="001625EC" w:rsidRPr="00D61E32" w:rsidRDefault="001625EC">
            <w:pPr>
              <w:rPr>
                <w:rFonts w:ascii="Century Gothic" w:hAnsi="Century Gothic" w:cs="Arial"/>
                <w:b/>
                <w:bCs/>
              </w:rPr>
            </w:pPr>
          </w:p>
          <w:p w14:paraId="5263511C" w14:textId="77777777" w:rsidR="001625EC" w:rsidRPr="00D61E32" w:rsidRDefault="001625EC">
            <w:pPr>
              <w:rPr>
                <w:rFonts w:ascii="Century Gothic" w:hAnsi="Century Gothic" w:cs="Arial"/>
                <w:b/>
                <w:bCs/>
              </w:rPr>
            </w:pPr>
          </w:p>
          <w:p w14:paraId="472B800E" w14:textId="77777777" w:rsidR="001625EC" w:rsidRPr="00D61E32" w:rsidRDefault="001625EC">
            <w:pPr>
              <w:rPr>
                <w:rFonts w:ascii="Century Gothic" w:hAnsi="Century Gothic" w:cs="Arial"/>
                <w:b/>
                <w:bCs/>
              </w:rPr>
            </w:pPr>
          </w:p>
          <w:p w14:paraId="6ADC6D9A" w14:textId="77777777" w:rsidR="001625EC" w:rsidRPr="00D61E32" w:rsidRDefault="001625EC">
            <w:pPr>
              <w:rPr>
                <w:rFonts w:ascii="Century Gothic" w:hAnsi="Century Gothic" w:cs="Arial"/>
                <w:b/>
                <w:bCs/>
              </w:rPr>
            </w:pPr>
          </w:p>
          <w:p w14:paraId="2565A8F4" w14:textId="77777777" w:rsidR="001625EC" w:rsidRPr="00D61E32" w:rsidRDefault="001625EC">
            <w:pPr>
              <w:rPr>
                <w:rFonts w:ascii="Century Gothic" w:hAnsi="Century Gothic" w:cs="Arial"/>
                <w:b/>
                <w:bCs/>
              </w:rPr>
            </w:pPr>
          </w:p>
          <w:p w14:paraId="480F63CB" w14:textId="77777777" w:rsidR="001625EC" w:rsidRPr="00D61E32" w:rsidRDefault="001625EC">
            <w:pPr>
              <w:rPr>
                <w:rFonts w:ascii="Century Gothic" w:hAnsi="Century Gothic" w:cs="Arial"/>
                <w:b/>
                <w:bCs/>
              </w:rPr>
            </w:pPr>
          </w:p>
          <w:p w14:paraId="117443B5" w14:textId="77777777" w:rsidR="001625EC" w:rsidRPr="00D61E32" w:rsidRDefault="001625EC">
            <w:pPr>
              <w:rPr>
                <w:rFonts w:ascii="Century Gothic" w:hAnsi="Century Gothic" w:cs="Arial"/>
                <w:b/>
                <w:bCs/>
              </w:rPr>
            </w:pPr>
          </w:p>
          <w:p w14:paraId="34562BE1" w14:textId="77777777" w:rsidR="001625EC" w:rsidRPr="00D61E32" w:rsidRDefault="001625EC">
            <w:pPr>
              <w:rPr>
                <w:rFonts w:ascii="Century Gothic" w:hAnsi="Century Gothic" w:cs="Arial"/>
                <w:b/>
                <w:bCs/>
              </w:rPr>
            </w:pPr>
          </w:p>
          <w:p w14:paraId="68DE2842" w14:textId="77777777" w:rsidR="001625EC" w:rsidRPr="00D61E32" w:rsidRDefault="001625EC">
            <w:pPr>
              <w:rPr>
                <w:rFonts w:ascii="Century Gothic" w:hAnsi="Century Gothic" w:cs="Arial"/>
                <w:b/>
                <w:bCs/>
              </w:rPr>
            </w:pPr>
          </w:p>
          <w:p w14:paraId="2DBB5DCB" w14:textId="77777777" w:rsidR="001625EC" w:rsidRPr="00D61E32" w:rsidRDefault="001625EC">
            <w:pPr>
              <w:rPr>
                <w:rFonts w:ascii="Century Gothic" w:hAnsi="Century Gothic" w:cs="Arial"/>
                <w:b/>
                <w:bCs/>
              </w:rPr>
            </w:pPr>
          </w:p>
          <w:p w14:paraId="080A0B38" w14:textId="77777777" w:rsidR="001625EC" w:rsidRPr="00D61E32" w:rsidRDefault="001625EC">
            <w:pPr>
              <w:rPr>
                <w:rFonts w:ascii="Century Gothic" w:hAnsi="Century Gothic" w:cs="Arial"/>
                <w:b/>
                <w:bCs/>
              </w:rPr>
            </w:pPr>
          </w:p>
          <w:p w14:paraId="045D07FD" w14:textId="77777777" w:rsidR="001625EC" w:rsidRPr="00D61E32" w:rsidRDefault="001625EC">
            <w:pPr>
              <w:rPr>
                <w:rFonts w:ascii="Century Gothic" w:hAnsi="Century Gothic" w:cs="Arial"/>
                <w:b/>
                <w:bCs/>
              </w:rPr>
            </w:pPr>
          </w:p>
          <w:p w14:paraId="00082192" w14:textId="77777777" w:rsidR="001625EC" w:rsidRPr="00D61E32" w:rsidRDefault="001625EC">
            <w:pPr>
              <w:rPr>
                <w:rFonts w:ascii="Century Gothic" w:hAnsi="Century Gothic" w:cs="Arial"/>
                <w:b/>
                <w:bCs/>
              </w:rPr>
            </w:pPr>
          </w:p>
          <w:p w14:paraId="52FC9B68" w14:textId="77777777" w:rsidR="001625EC" w:rsidRPr="00D61E32" w:rsidRDefault="001625EC">
            <w:pPr>
              <w:rPr>
                <w:rFonts w:ascii="Century Gothic" w:hAnsi="Century Gothic" w:cs="Arial"/>
                <w:b/>
                <w:bCs/>
              </w:rPr>
            </w:pPr>
          </w:p>
          <w:p w14:paraId="3FE2B58E" w14:textId="77777777" w:rsidR="001625EC" w:rsidRPr="00D61E32" w:rsidRDefault="001625EC">
            <w:pPr>
              <w:rPr>
                <w:rFonts w:ascii="Century Gothic" w:hAnsi="Century Gothic" w:cs="Arial"/>
                <w:b/>
                <w:bCs/>
              </w:rPr>
            </w:pPr>
          </w:p>
          <w:p w14:paraId="775BE8B7" w14:textId="77777777" w:rsidR="001625EC" w:rsidRPr="00D61E32" w:rsidRDefault="001625EC">
            <w:pPr>
              <w:rPr>
                <w:rFonts w:ascii="Century Gothic" w:hAnsi="Century Gothic" w:cs="Arial"/>
                <w:b/>
                <w:bCs/>
              </w:rPr>
            </w:pPr>
          </w:p>
          <w:p w14:paraId="1BFBB669" w14:textId="77777777" w:rsidR="001625EC" w:rsidRPr="00D61E32" w:rsidRDefault="001625EC">
            <w:pPr>
              <w:rPr>
                <w:rFonts w:ascii="Century Gothic" w:hAnsi="Century Gothic" w:cs="Arial"/>
                <w:b/>
                <w:bCs/>
              </w:rPr>
            </w:pPr>
          </w:p>
          <w:p w14:paraId="22918C6C" w14:textId="77777777" w:rsidR="001625EC" w:rsidRPr="00D61E32" w:rsidRDefault="001625EC">
            <w:pPr>
              <w:rPr>
                <w:rFonts w:ascii="Century Gothic" w:hAnsi="Century Gothic" w:cs="Arial"/>
                <w:b/>
                <w:bCs/>
              </w:rPr>
            </w:pPr>
          </w:p>
          <w:p w14:paraId="44C4E081" w14:textId="77777777" w:rsidR="001625EC" w:rsidRPr="00D61E32" w:rsidRDefault="001625EC">
            <w:pPr>
              <w:rPr>
                <w:rFonts w:ascii="Century Gothic" w:hAnsi="Century Gothic" w:cs="Arial"/>
                <w:b/>
                <w:bCs/>
              </w:rPr>
            </w:pPr>
          </w:p>
          <w:p w14:paraId="4FE58376" w14:textId="77777777" w:rsidR="001625EC" w:rsidRPr="00D61E32" w:rsidRDefault="001625EC">
            <w:pPr>
              <w:rPr>
                <w:rFonts w:ascii="Century Gothic" w:hAnsi="Century Gothic" w:cs="Arial"/>
                <w:b/>
                <w:bCs/>
              </w:rPr>
            </w:pPr>
          </w:p>
          <w:p w14:paraId="32F13476" w14:textId="77777777" w:rsidR="001625EC" w:rsidRPr="00D61E32" w:rsidRDefault="001625EC">
            <w:pPr>
              <w:rPr>
                <w:rFonts w:ascii="Century Gothic" w:hAnsi="Century Gothic" w:cs="Arial"/>
                <w:b/>
                <w:bCs/>
              </w:rPr>
            </w:pPr>
          </w:p>
          <w:p w14:paraId="6A76709A" w14:textId="77777777" w:rsidR="001625EC" w:rsidRPr="00D61E32" w:rsidRDefault="001625EC">
            <w:pPr>
              <w:rPr>
                <w:rFonts w:ascii="Century Gothic" w:hAnsi="Century Gothic" w:cs="Arial"/>
                <w:b/>
                <w:bCs/>
              </w:rPr>
            </w:pPr>
          </w:p>
          <w:p w14:paraId="5CCAA6B3" w14:textId="77777777" w:rsidR="001625EC" w:rsidRPr="00D61E32" w:rsidRDefault="001625EC">
            <w:pPr>
              <w:rPr>
                <w:rFonts w:ascii="Century Gothic" w:hAnsi="Century Gothic" w:cs="Arial"/>
                <w:b/>
                <w:bCs/>
              </w:rPr>
            </w:pPr>
          </w:p>
          <w:p w14:paraId="656A0A4D" w14:textId="77777777" w:rsidR="001625EC" w:rsidRPr="00D61E32" w:rsidRDefault="001625EC">
            <w:pPr>
              <w:rPr>
                <w:rFonts w:ascii="Century Gothic" w:hAnsi="Century Gothic" w:cs="Arial"/>
                <w:b/>
                <w:bCs/>
              </w:rPr>
            </w:pPr>
          </w:p>
          <w:p w14:paraId="301A0DAE" w14:textId="77777777" w:rsidR="001625EC" w:rsidRPr="00D61E32" w:rsidRDefault="001625EC">
            <w:pPr>
              <w:rPr>
                <w:rFonts w:ascii="Century Gothic" w:hAnsi="Century Gothic" w:cs="Arial"/>
                <w:b/>
                <w:bCs/>
              </w:rPr>
            </w:pPr>
          </w:p>
          <w:p w14:paraId="728BA0A7" w14:textId="77777777" w:rsidR="001625EC" w:rsidRPr="00D61E32" w:rsidRDefault="001625EC">
            <w:pPr>
              <w:rPr>
                <w:rFonts w:ascii="Century Gothic" w:hAnsi="Century Gothic" w:cs="Arial"/>
                <w:b/>
                <w:bCs/>
              </w:rPr>
            </w:pPr>
          </w:p>
          <w:p w14:paraId="719F1BB4" w14:textId="77777777" w:rsidR="001625EC" w:rsidRPr="00D61E32" w:rsidRDefault="001625EC">
            <w:pPr>
              <w:rPr>
                <w:rFonts w:ascii="Century Gothic" w:hAnsi="Century Gothic" w:cs="Arial"/>
                <w:b/>
                <w:bCs/>
              </w:rPr>
            </w:pPr>
          </w:p>
          <w:p w14:paraId="7FF6BE19" w14:textId="77777777" w:rsidR="001625EC" w:rsidRPr="00D61E32" w:rsidRDefault="001625EC">
            <w:pPr>
              <w:rPr>
                <w:rFonts w:ascii="Century Gothic" w:hAnsi="Century Gothic" w:cs="Arial"/>
                <w:b/>
                <w:bCs/>
              </w:rPr>
            </w:pPr>
          </w:p>
          <w:p w14:paraId="37E7D312" w14:textId="77777777" w:rsidR="001625EC" w:rsidRPr="00D61E32" w:rsidRDefault="001625EC">
            <w:pPr>
              <w:rPr>
                <w:rFonts w:ascii="Century Gothic" w:hAnsi="Century Gothic" w:cs="Arial"/>
                <w:b/>
                <w:bCs/>
              </w:rPr>
            </w:pPr>
          </w:p>
          <w:p w14:paraId="53993B78" w14:textId="77777777" w:rsidR="001625EC" w:rsidRPr="00D61E32" w:rsidRDefault="001625EC">
            <w:pPr>
              <w:rPr>
                <w:rFonts w:ascii="Century Gothic" w:hAnsi="Century Gothic" w:cs="Arial"/>
                <w:b/>
                <w:bCs/>
              </w:rPr>
            </w:pPr>
          </w:p>
          <w:p w14:paraId="388B53F2" w14:textId="77777777" w:rsidR="001625EC" w:rsidRPr="00D61E32" w:rsidRDefault="001625EC">
            <w:pPr>
              <w:rPr>
                <w:rFonts w:ascii="Century Gothic" w:hAnsi="Century Gothic" w:cs="Arial"/>
                <w:b/>
                <w:bCs/>
              </w:rPr>
            </w:pPr>
          </w:p>
          <w:p w14:paraId="54202D3A" w14:textId="77777777" w:rsidR="001625EC" w:rsidRPr="00D61E32" w:rsidRDefault="001625EC">
            <w:pPr>
              <w:rPr>
                <w:rFonts w:ascii="Century Gothic" w:hAnsi="Century Gothic" w:cs="Arial"/>
                <w:b/>
                <w:bCs/>
              </w:rPr>
            </w:pPr>
          </w:p>
          <w:p w14:paraId="7173DA64" w14:textId="77777777" w:rsidR="001625EC" w:rsidRPr="00D61E32" w:rsidRDefault="001625EC">
            <w:pPr>
              <w:rPr>
                <w:rFonts w:ascii="Century Gothic" w:hAnsi="Century Gothic" w:cs="Arial"/>
                <w:b/>
                <w:bCs/>
              </w:rPr>
            </w:pPr>
          </w:p>
          <w:p w14:paraId="048E23BF" w14:textId="77777777" w:rsidR="001625EC" w:rsidRPr="00D61E32" w:rsidRDefault="001625EC">
            <w:pPr>
              <w:rPr>
                <w:rFonts w:ascii="Century Gothic" w:hAnsi="Century Gothic" w:cs="Arial"/>
                <w:b/>
                <w:bCs/>
              </w:rPr>
            </w:pPr>
          </w:p>
          <w:p w14:paraId="5BFDFBC6" w14:textId="77777777" w:rsidR="001625EC" w:rsidRPr="00D61E32" w:rsidRDefault="001625EC">
            <w:pPr>
              <w:rPr>
                <w:rFonts w:ascii="Century Gothic" w:hAnsi="Century Gothic" w:cs="Arial"/>
                <w:b/>
                <w:bCs/>
              </w:rPr>
            </w:pPr>
          </w:p>
          <w:p w14:paraId="39B0CD45" w14:textId="77777777" w:rsidR="001625EC" w:rsidRPr="00D61E32" w:rsidRDefault="001625EC">
            <w:pPr>
              <w:rPr>
                <w:rFonts w:ascii="Century Gothic" w:hAnsi="Century Gothic" w:cs="Arial"/>
                <w:b/>
                <w:bCs/>
              </w:rPr>
            </w:pPr>
          </w:p>
          <w:p w14:paraId="4EBFB0F3" w14:textId="77777777" w:rsidR="001625EC" w:rsidRPr="00D61E32" w:rsidRDefault="001625EC">
            <w:pPr>
              <w:rPr>
                <w:rFonts w:ascii="Century Gothic" w:hAnsi="Century Gothic" w:cs="Arial"/>
                <w:b/>
                <w:bCs/>
              </w:rPr>
            </w:pPr>
          </w:p>
          <w:p w14:paraId="2AF42ECC" w14:textId="77777777" w:rsidR="001625EC" w:rsidRPr="00D61E32" w:rsidRDefault="001625EC">
            <w:pPr>
              <w:rPr>
                <w:rFonts w:ascii="Century Gothic" w:hAnsi="Century Gothic" w:cs="Arial"/>
                <w:b/>
                <w:bCs/>
              </w:rPr>
            </w:pPr>
          </w:p>
          <w:p w14:paraId="74B41DC0" w14:textId="77777777" w:rsidR="001625EC" w:rsidRPr="00D61E32" w:rsidRDefault="001625EC">
            <w:pPr>
              <w:rPr>
                <w:rFonts w:ascii="Century Gothic" w:hAnsi="Century Gothic" w:cs="Arial"/>
                <w:b/>
                <w:bCs/>
              </w:rPr>
            </w:pPr>
          </w:p>
          <w:p w14:paraId="3CE64031" w14:textId="77777777" w:rsidR="001625EC" w:rsidRPr="00D61E32" w:rsidRDefault="001625EC">
            <w:pPr>
              <w:rPr>
                <w:rFonts w:ascii="Century Gothic" w:hAnsi="Century Gothic" w:cs="Arial"/>
                <w:b/>
                <w:bCs/>
              </w:rPr>
            </w:pPr>
          </w:p>
          <w:p w14:paraId="683971F0" w14:textId="77777777" w:rsidR="001625EC" w:rsidRPr="00D61E32" w:rsidRDefault="001625EC">
            <w:pPr>
              <w:rPr>
                <w:rFonts w:ascii="Century Gothic" w:hAnsi="Century Gothic" w:cs="Arial"/>
                <w:b/>
                <w:bCs/>
              </w:rPr>
            </w:pPr>
          </w:p>
          <w:p w14:paraId="7ED4F1BB" w14:textId="77777777" w:rsidR="001625EC" w:rsidRPr="00D61E32" w:rsidRDefault="001625EC">
            <w:pPr>
              <w:rPr>
                <w:rFonts w:ascii="Century Gothic" w:hAnsi="Century Gothic" w:cs="Arial"/>
                <w:i/>
              </w:rPr>
            </w:pPr>
          </w:p>
          <w:p w14:paraId="4A4A8234" w14:textId="77777777" w:rsidR="001625EC" w:rsidRPr="00D61E32" w:rsidRDefault="001625EC">
            <w:pPr>
              <w:rPr>
                <w:rFonts w:ascii="Century Gothic" w:hAnsi="Century Gothic" w:cs="Arial"/>
                <w:i/>
              </w:rPr>
            </w:pPr>
          </w:p>
          <w:p w14:paraId="2771D4B1" w14:textId="77777777" w:rsidR="001625EC" w:rsidRPr="00D61E32" w:rsidRDefault="001625EC">
            <w:pPr>
              <w:rPr>
                <w:rFonts w:ascii="Century Gothic" w:hAnsi="Century Gothic" w:cs="Arial"/>
                <w:i/>
              </w:rPr>
            </w:pPr>
          </w:p>
          <w:p w14:paraId="54F94EEF" w14:textId="77777777" w:rsidR="001625EC" w:rsidRPr="00D61E32" w:rsidRDefault="001625EC">
            <w:pPr>
              <w:rPr>
                <w:rFonts w:ascii="Century Gothic" w:hAnsi="Century Gothic" w:cs="Arial"/>
                <w:i/>
              </w:rPr>
            </w:pPr>
          </w:p>
          <w:p w14:paraId="7B560F59" w14:textId="77777777" w:rsidR="001625EC" w:rsidRPr="00D61E32" w:rsidRDefault="001625EC">
            <w:pPr>
              <w:rPr>
                <w:rFonts w:ascii="Century Gothic" w:hAnsi="Century Gothic" w:cs="Arial"/>
                <w:i/>
              </w:rPr>
            </w:pPr>
          </w:p>
          <w:p w14:paraId="34D6A98D" w14:textId="77777777" w:rsidR="00882C00" w:rsidRPr="00D61E32" w:rsidRDefault="00882C00">
            <w:pPr>
              <w:rPr>
                <w:rFonts w:ascii="Century Gothic" w:hAnsi="Century Gothic" w:cs="Arial"/>
                <w:i/>
              </w:rPr>
            </w:pPr>
          </w:p>
          <w:p w14:paraId="71FE0E5B" w14:textId="77777777" w:rsidR="00882C00" w:rsidRPr="00D61E32" w:rsidRDefault="00882C00">
            <w:pPr>
              <w:rPr>
                <w:rFonts w:ascii="Century Gothic" w:hAnsi="Century Gothic" w:cs="Arial"/>
                <w:i/>
              </w:rPr>
            </w:pPr>
          </w:p>
          <w:p w14:paraId="6658840A" w14:textId="77777777" w:rsidR="00882C00" w:rsidRPr="00D61E32" w:rsidRDefault="00882C00">
            <w:pPr>
              <w:rPr>
                <w:rFonts w:ascii="Century Gothic" w:hAnsi="Century Gothic" w:cs="Arial"/>
                <w:i/>
              </w:rPr>
            </w:pPr>
          </w:p>
          <w:p w14:paraId="44562BE9" w14:textId="77777777" w:rsidR="00882C00" w:rsidRPr="00D61E32" w:rsidRDefault="00882C00">
            <w:pPr>
              <w:rPr>
                <w:rFonts w:ascii="Century Gothic" w:hAnsi="Century Gothic" w:cs="Arial"/>
                <w:i/>
              </w:rPr>
            </w:pPr>
          </w:p>
          <w:p w14:paraId="6BE46A22" w14:textId="77777777" w:rsidR="00882C00" w:rsidRPr="00D61E32" w:rsidRDefault="00882C00">
            <w:pPr>
              <w:rPr>
                <w:rFonts w:ascii="Century Gothic" w:hAnsi="Century Gothic" w:cs="Arial"/>
                <w:i/>
              </w:rPr>
            </w:pPr>
          </w:p>
          <w:p w14:paraId="0AD8F9A3" w14:textId="77777777" w:rsidR="00882C00" w:rsidRPr="00D61E32" w:rsidRDefault="00882C00">
            <w:pPr>
              <w:rPr>
                <w:rFonts w:ascii="Century Gothic" w:hAnsi="Century Gothic" w:cs="Arial"/>
                <w:i/>
              </w:rPr>
            </w:pPr>
          </w:p>
          <w:p w14:paraId="736F71AC" w14:textId="77777777" w:rsidR="00882C00" w:rsidRPr="00D61E32" w:rsidRDefault="00882C00">
            <w:pPr>
              <w:rPr>
                <w:rFonts w:ascii="Century Gothic" w:hAnsi="Century Gothic" w:cs="Arial"/>
                <w:i/>
              </w:rPr>
            </w:pPr>
          </w:p>
          <w:p w14:paraId="6EB6997A" w14:textId="77777777" w:rsidR="00882C00" w:rsidRPr="00D61E32" w:rsidRDefault="00882C00">
            <w:pPr>
              <w:rPr>
                <w:rFonts w:ascii="Century Gothic" w:hAnsi="Century Gothic" w:cs="Arial"/>
                <w:i/>
              </w:rPr>
            </w:pPr>
          </w:p>
          <w:p w14:paraId="7ACC6EAA" w14:textId="77777777" w:rsidR="00882C00" w:rsidRPr="00D61E32" w:rsidRDefault="00882C00">
            <w:pPr>
              <w:rPr>
                <w:rFonts w:ascii="Century Gothic" w:hAnsi="Century Gothic" w:cs="Arial"/>
                <w:i/>
              </w:rPr>
            </w:pPr>
          </w:p>
          <w:p w14:paraId="193E7215" w14:textId="77777777" w:rsidR="00882C00" w:rsidRPr="00D61E32" w:rsidRDefault="00882C00">
            <w:pPr>
              <w:rPr>
                <w:rFonts w:ascii="Century Gothic" w:hAnsi="Century Gothic" w:cs="Arial"/>
                <w:i/>
              </w:rPr>
            </w:pPr>
          </w:p>
          <w:p w14:paraId="435CDE70" w14:textId="77777777" w:rsidR="00882C00" w:rsidRPr="00D61E32" w:rsidRDefault="00882C00">
            <w:pPr>
              <w:rPr>
                <w:rFonts w:ascii="Century Gothic" w:hAnsi="Century Gothic" w:cs="Arial"/>
                <w:i/>
              </w:rPr>
            </w:pPr>
          </w:p>
          <w:p w14:paraId="723F8383" w14:textId="77777777" w:rsidR="00882C00" w:rsidRPr="00D61E32" w:rsidRDefault="00882C00">
            <w:pPr>
              <w:rPr>
                <w:rFonts w:ascii="Century Gothic" w:hAnsi="Century Gothic" w:cs="Arial"/>
                <w:i/>
              </w:rPr>
            </w:pPr>
          </w:p>
          <w:p w14:paraId="20C8C95B" w14:textId="77777777" w:rsidR="00882C00" w:rsidRPr="00D61E32" w:rsidRDefault="00882C00">
            <w:pPr>
              <w:rPr>
                <w:rFonts w:ascii="Century Gothic" w:hAnsi="Century Gothic" w:cs="Arial"/>
                <w:i/>
              </w:rPr>
            </w:pPr>
          </w:p>
          <w:p w14:paraId="5207D453" w14:textId="77777777" w:rsidR="00882C00" w:rsidRPr="00D61E32" w:rsidRDefault="00882C00">
            <w:pPr>
              <w:rPr>
                <w:rFonts w:ascii="Century Gothic" w:hAnsi="Century Gothic" w:cs="Arial"/>
                <w:i/>
              </w:rPr>
            </w:pPr>
          </w:p>
          <w:p w14:paraId="0E244EFF" w14:textId="77777777" w:rsidR="00882C00" w:rsidRPr="00D61E32" w:rsidRDefault="00882C00">
            <w:pPr>
              <w:rPr>
                <w:rFonts w:ascii="Century Gothic" w:hAnsi="Century Gothic" w:cs="Arial"/>
                <w:i/>
              </w:rPr>
            </w:pPr>
          </w:p>
          <w:p w14:paraId="234FA222" w14:textId="77777777" w:rsidR="00882C00" w:rsidRPr="00D61E32" w:rsidRDefault="00882C00">
            <w:pPr>
              <w:rPr>
                <w:rFonts w:ascii="Century Gothic" w:hAnsi="Century Gothic" w:cs="Arial"/>
                <w:i/>
              </w:rPr>
            </w:pPr>
          </w:p>
          <w:p w14:paraId="7BD92EA7" w14:textId="77777777" w:rsidR="00882C00" w:rsidRPr="00D61E32" w:rsidRDefault="00882C00">
            <w:pPr>
              <w:rPr>
                <w:rFonts w:ascii="Century Gothic" w:hAnsi="Century Gothic" w:cs="Arial"/>
                <w:i/>
              </w:rPr>
            </w:pPr>
          </w:p>
          <w:p w14:paraId="01274251" w14:textId="77777777" w:rsidR="00882C00" w:rsidRPr="00D61E32" w:rsidRDefault="00882C00">
            <w:pPr>
              <w:rPr>
                <w:rFonts w:ascii="Century Gothic" w:hAnsi="Century Gothic" w:cs="Arial"/>
                <w:i/>
              </w:rPr>
            </w:pPr>
          </w:p>
          <w:p w14:paraId="41BA3FCB" w14:textId="77777777" w:rsidR="00882C00" w:rsidRPr="00D61E32" w:rsidRDefault="00882C00">
            <w:pPr>
              <w:rPr>
                <w:rFonts w:ascii="Century Gothic" w:hAnsi="Century Gothic" w:cs="Arial"/>
                <w:i/>
              </w:rPr>
            </w:pPr>
          </w:p>
          <w:p w14:paraId="030B91D7" w14:textId="77777777" w:rsidR="00882C00" w:rsidRPr="00D61E32" w:rsidRDefault="00882C00">
            <w:pPr>
              <w:rPr>
                <w:rFonts w:ascii="Century Gothic" w:hAnsi="Century Gothic" w:cs="Arial"/>
                <w:i/>
              </w:rPr>
            </w:pPr>
          </w:p>
          <w:p w14:paraId="42C8DA2F" w14:textId="77777777" w:rsidR="00882C00" w:rsidRPr="00D61E32" w:rsidRDefault="00882C00">
            <w:pPr>
              <w:rPr>
                <w:rFonts w:ascii="Century Gothic" w:hAnsi="Century Gothic" w:cs="Arial"/>
                <w:i/>
              </w:rPr>
            </w:pPr>
          </w:p>
          <w:p w14:paraId="417FBC5B" w14:textId="77777777" w:rsidR="00882C00" w:rsidRPr="00D61E32" w:rsidRDefault="00882C00">
            <w:pPr>
              <w:rPr>
                <w:rFonts w:ascii="Century Gothic" w:hAnsi="Century Gothic" w:cs="Arial"/>
                <w:i/>
              </w:rPr>
            </w:pPr>
          </w:p>
          <w:p w14:paraId="612A72C7" w14:textId="77777777" w:rsidR="00882C00" w:rsidRPr="00D61E32" w:rsidRDefault="00882C00">
            <w:pPr>
              <w:rPr>
                <w:rFonts w:ascii="Century Gothic" w:hAnsi="Century Gothic" w:cs="Arial"/>
                <w:i/>
              </w:rPr>
            </w:pPr>
          </w:p>
          <w:p w14:paraId="7F3015A8" w14:textId="77777777" w:rsidR="00882C00" w:rsidRPr="00D61E32" w:rsidRDefault="00882C00">
            <w:pPr>
              <w:rPr>
                <w:rFonts w:ascii="Century Gothic" w:hAnsi="Century Gothic" w:cs="Arial"/>
                <w:i/>
              </w:rPr>
            </w:pPr>
          </w:p>
          <w:p w14:paraId="2F97B215" w14:textId="77777777" w:rsidR="001625EC" w:rsidRDefault="001625EC">
            <w:pPr>
              <w:rPr>
                <w:rFonts w:ascii="Century Gothic" w:hAnsi="Century Gothic" w:cs="Arial"/>
                <w:i/>
              </w:rPr>
            </w:pPr>
          </w:p>
          <w:p w14:paraId="7C9CF227" w14:textId="77777777" w:rsidR="00E70A33" w:rsidRDefault="00E70A33">
            <w:pPr>
              <w:rPr>
                <w:rFonts w:ascii="Century Gothic" w:hAnsi="Century Gothic" w:cs="Arial"/>
                <w:i/>
              </w:rPr>
            </w:pPr>
          </w:p>
          <w:p w14:paraId="7FBC95B4" w14:textId="77777777" w:rsidR="00E70A33" w:rsidRDefault="00E70A33">
            <w:pPr>
              <w:rPr>
                <w:rFonts w:ascii="Century Gothic" w:hAnsi="Century Gothic" w:cs="Arial"/>
                <w:i/>
              </w:rPr>
            </w:pPr>
          </w:p>
          <w:p w14:paraId="19A81469" w14:textId="77777777" w:rsidR="00E70A33" w:rsidRDefault="00E70A33">
            <w:pPr>
              <w:rPr>
                <w:rFonts w:ascii="Century Gothic" w:hAnsi="Century Gothic" w:cs="Arial"/>
                <w:i/>
              </w:rPr>
            </w:pPr>
          </w:p>
          <w:p w14:paraId="57DC3356" w14:textId="77777777" w:rsidR="00E70A33" w:rsidRDefault="00E70A33">
            <w:pPr>
              <w:rPr>
                <w:rFonts w:ascii="Century Gothic" w:hAnsi="Century Gothic" w:cs="Arial"/>
                <w:i/>
              </w:rPr>
            </w:pPr>
          </w:p>
          <w:p w14:paraId="5FD78D3D" w14:textId="77777777" w:rsidR="00E70A33" w:rsidRDefault="00E70A33">
            <w:pPr>
              <w:rPr>
                <w:rFonts w:ascii="Century Gothic" w:hAnsi="Century Gothic" w:cs="Arial"/>
                <w:i/>
              </w:rPr>
            </w:pPr>
          </w:p>
          <w:p w14:paraId="4120BC99" w14:textId="77777777" w:rsidR="00E70A33" w:rsidRPr="00D61E32" w:rsidRDefault="00E70A33">
            <w:pPr>
              <w:rPr>
                <w:rFonts w:ascii="Century Gothic" w:hAnsi="Century Gothic" w:cs="Arial"/>
                <w:i/>
              </w:rPr>
            </w:pPr>
          </w:p>
          <w:p w14:paraId="5531E9EB" w14:textId="77777777" w:rsidR="00E70A33" w:rsidRDefault="00E70A33">
            <w:pPr>
              <w:rPr>
                <w:rFonts w:ascii="Century Gothic" w:hAnsi="Century Gothic" w:cs="Arial"/>
                <w:i/>
              </w:rPr>
            </w:pPr>
          </w:p>
          <w:p w14:paraId="6997A711" w14:textId="1FEFFFB8" w:rsidR="001625EC" w:rsidRPr="00D61E32" w:rsidRDefault="001625EC">
            <w:pPr>
              <w:rPr>
                <w:rFonts w:ascii="Century Gothic" w:hAnsi="Century Gothic" w:cs="Arial"/>
              </w:rPr>
            </w:pPr>
            <w:r w:rsidRPr="00D61E32">
              <w:rPr>
                <w:rFonts w:ascii="Century Gothic" w:hAnsi="Century Gothic" w:cs="Arial"/>
                <w:i/>
              </w:rPr>
              <w:t>Minimum qualifications for reviewers</w:t>
            </w:r>
            <w:r w:rsidRPr="00D61E32">
              <w:rPr>
                <w:rFonts w:ascii="Century Gothic" w:hAnsi="Century Gothic" w:cs="Arial"/>
                <w:i/>
                <w:iCs/>
              </w:rPr>
              <w:t xml:space="preserve"> – </w:t>
            </w:r>
            <w:r w:rsidRPr="00D61E32">
              <w:rPr>
                <w:rFonts w:ascii="Century Gothic" w:hAnsi="Century Gothic" w:cs="Arial"/>
              </w:rPr>
              <w:t xml:space="preserve">Same as M/S </w:t>
            </w:r>
          </w:p>
          <w:p w14:paraId="79F13667" w14:textId="77777777" w:rsidR="001625EC" w:rsidRPr="00D61E32" w:rsidRDefault="001625EC">
            <w:pPr>
              <w:rPr>
                <w:rFonts w:ascii="Century Gothic" w:hAnsi="Century Gothic" w:cs="Arial"/>
                <w:b/>
                <w:bCs/>
              </w:rPr>
            </w:pPr>
          </w:p>
          <w:p w14:paraId="46E74488" w14:textId="77777777" w:rsidR="001625EC" w:rsidRPr="00D61E32" w:rsidRDefault="001625EC">
            <w:pPr>
              <w:rPr>
                <w:rFonts w:ascii="Century Gothic" w:hAnsi="Century Gothic" w:cs="Arial"/>
                <w:b/>
                <w:bCs/>
              </w:rPr>
            </w:pPr>
          </w:p>
          <w:p w14:paraId="313CE5BB" w14:textId="77777777" w:rsidR="001625EC" w:rsidRPr="00D61E32" w:rsidRDefault="001625EC">
            <w:pPr>
              <w:rPr>
                <w:rFonts w:ascii="Century Gothic" w:hAnsi="Century Gothic" w:cs="Arial"/>
                <w:i/>
              </w:rPr>
            </w:pPr>
          </w:p>
          <w:p w14:paraId="084605FD" w14:textId="77777777" w:rsidR="001625EC" w:rsidRPr="00D61E32" w:rsidRDefault="001625EC">
            <w:pPr>
              <w:rPr>
                <w:rFonts w:ascii="Century Gothic" w:hAnsi="Century Gothic" w:cs="Arial"/>
              </w:rPr>
            </w:pPr>
            <w:r w:rsidRPr="00D61E32">
              <w:rPr>
                <w:rFonts w:ascii="Century Gothic" w:hAnsi="Century Gothic" w:cs="Arial"/>
                <w:i/>
              </w:rPr>
              <w:t>Minimum standards to issue a denial (e.g. sign-off from a physician with relevant board certification)</w:t>
            </w:r>
            <w:r w:rsidRPr="00D61E32">
              <w:rPr>
                <w:rFonts w:ascii="Century Gothic" w:hAnsi="Century Gothic" w:cs="Arial"/>
              </w:rPr>
              <w:t>:</w:t>
            </w:r>
          </w:p>
          <w:p w14:paraId="0160603B" w14:textId="77777777" w:rsidR="001625EC" w:rsidRPr="00D61E32" w:rsidRDefault="001625EC">
            <w:pPr>
              <w:pStyle w:val="TableParagraph"/>
              <w:jc w:val="both"/>
              <w:rPr>
                <w:rFonts w:ascii="Century Gothic" w:hAnsi="Century Gothic" w:cs="Arial"/>
              </w:rPr>
            </w:pPr>
            <w:r w:rsidRPr="00D61E32">
              <w:rPr>
                <w:rFonts w:ascii="Century Gothic" w:hAnsi="Century Gothic" w:cs="Arial"/>
              </w:rPr>
              <w:t xml:space="preserve">If the nurse reviewer/care manager determines the enrollee meets criteria for continued inpatient care, he/she authorizes the services at issue. </w:t>
            </w:r>
          </w:p>
          <w:p w14:paraId="69585614" w14:textId="77777777" w:rsidR="001625EC" w:rsidRPr="00D61E32" w:rsidRDefault="001625EC">
            <w:pPr>
              <w:pStyle w:val="TableParagraph"/>
              <w:jc w:val="both"/>
              <w:rPr>
                <w:rFonts w:ascii="Century Gothic" w:hAnsi="Century Gothic" w:cs="Arial"/>
              </w:rPr>
            </w:pPr>
          </w:p>
          <w:p w14:paraId="7CEB2244" w14:textId="77777777" w:rsidR="001625EC" w:rsidRPr="00D61E32" w:rsidRDefault="001625EC">
            <w:pPr>
              <w:pStyle w:val="TableParagraph"/>
              <w:jc w:val="both"/>
              <w:rPr>
                <w:rFonts w:ascii="Century Gothic" w:hAnsi="Century Gothic" w:cs="Arial"/>
              </w:rPr>
            </w:pPr>
            <w:r w:rsidRPr="00D61E32">
              <w:rPr>
                <w:rFonts w:ascii="Century Gothic" w:hAnsi="Century Gothic" w:cs="Arial"/>
              </w:rPr>
              <w:t xml:space="preserve">If the nurse reviewer/care manager assesses the enrollee does not appear to meet medical necessity criteria for continued inpatient care, he/she refers the case to a peer reviewer (e.g. Medical Director) who conducts a peer-to-peer review with the treating provider. The peer reviewer reviews the clinical information and determines whether the enrollee meets criteria for continued inpatient care (i.e. peer reviewer may authorize or deny benefit authorization depending upon the information provided by the treating provider). Cigna typically authorizes 1-6 MH/SUD inpatient days upon concurrent care review. (See Peer to Peer Variation Analysis in Section above).  </w:t>
            </w:r>
          </w:p>
        </w:tc>
      </w:tr>
      <w:tr w:rsidR="001625EC" w:rsidRPr="00D61E32" w14:paraId="1D39D878" w14:textId="77777777" w:rsidTr="001625EC">
        <w:trPr>
          <w:trHeight w:val="1691"/>
        </w:trPr>
        <w:tc>
          <w:tcPr>
            <w:tcW w:w="2500" w:type="pct"/>
            <w:tcBorders>
              <w:top w:val="single" w:sz="4" w:space="0" w:color="auto"/>
              <w:left w:val="single" w:sz="4" w:space="0" w:color="auto"/>
              <w:bottom w:val="single" w:sz="4" w:space="0" w:color="auto"/>
              <w:right w:val="single" w:sz="4" w:space="0" w:color="auto"/>
            </w:tcBorders>
          </w:tcPr>
          <w:p w14:paraId="1392BE9D" w14:textId="33A79762" w:rsidR="001625EC" w:rsidRPr="00E70A33" w:rsidRDefault="001625EC">
            <w:pPr>
              <w:rPr>
                <w:rFonts w:ascii="Century Gothic" w:eastAsia="Times New Roman" w:hAnsi="Century Gothic" w:cs="Arial"/>
              </w:rPr>
            </w:pPr>
            <w:r w:rsidRPr="00D61E32">
              <w:rPr>
                <w:rFonts w:ascii="Century Gothic" w:eastAsia="Times New Roman" w:hAnsi="Century Gothic" w:cs="Arial"/>
                <w:b/>
                <w:i/>
              </w:rPr>
              <w:t>Step 4(b) : Identify and define the factors and processes that are used to monitor and evaluate the application of Concurrent Review for M/S benefits</w:t>
            </w:r>
            <w:r w:rsidRPr="00D61E32">
              <w:rPr>
                <w:rFonts w:ascii="Century Gothic" w:eastAsia="Times New Roman" w:hAnsi="Century Gothic" w:cs="Arial"/>
              </w:rPr>
              <w:t>:</w:t>
            </w:r>
          </w:p>
          <w:p w14:paraId="7FA751E4" w14:textId="77777777" w:rsidR="001625EC" w:rsidRPr="00D61E32" w:rsidRDefault="001625EC">
            <w:pPr>
              <w:rPr>
                <w:rFonts w:ascii="Century Gothic" w:hAnsi="Century Gothic" w:cs="Arial"/>
                <w:b/>
                <w:bCs/>
              </w:rPr>
            </w:pPr>
            <w:r w:rsidRPr="00D61E32">
              <w:rPr>
                <w:rFonts w:ascii="Century Gothic" w:hAnsi="Century Gothic" w:cs="Arial"/>
                <w:b/>
                <w:bCs/>
              </w:rPr>
              <w:t xml:space="preserve">2023 Data </w:t>
            </w:r>
            <w:r w:rsidRPr="00D61E32">
              <w:rPr>
                <w:rFonts w:ascii="Century Gothic" w:hAnsi="Century Gothic" w:cs="Arial"/>
              </w:rPr>
              <w:t>– Wellfleet delegates Utilization Management, including Prior Authorization, to Cigna.  The below data represents an analysis of concurrent review requests across Wellfleet’s Book of Business from January 1, 2023 – December 31, 2023.</w:t>
            </w:r>
            <w:r w:rsidRPr="00D61E32">
              <w:rPr>
                <w:rFonts w:ascii="Century Gothic" w:hAnsi="Century Gothic" w:cs="Arial"/>
                <w:b/>
                <w:bCs/>
              </w:rPr>
              <w:t xml:space="preserve"> </w:t>
            </w:r>
          </w:p>
          <w:p w14:paraId="50FD9542" w14:textId="77777777" w:rsidR="001625EC" w:rsidRPr="00D61E32" w:rsidRDefault="001625EC">
            <w:pPr>
              <w:rPr>
                <w:rFonts w:ascii="Century Gothic" w:hAnsi="Century Gothic" w:cs="Arial"/>
                <w:b/>
                <w:bCs/>
              </w:rPr>
            </w:pPr>
            <w:r w:rsidRPr="00D61E32">
              <w:rPr>
                <w:rFonts w:ascii="Century Gothic" w:hAnsi="Century Gothic" w:cs="Arial"/>
                <w:b/>
                <w:bCs/>
              </w:rPr>
              <w:t xml:space="preserve">Inpatient Prior Authorization Denial Rates </w:t>
            </w:r>
          </w:p>
          <w:tbl>
            <w:tblPr>
              <w:tblW w:w="4540" w:type="dxa"/>
              <w:tblLook w:val="04A0" w:firstRow="1" w:lastRow="0" w:firstColumn="1" w:lastColumn="0" w:noHBand="0" w:noVBand="1"/>
            </w:tblPr>
            <w:tblGrid>
              <w:gridCol w:w="1826"/>
              <w:gridCol w:w="1309"/>
              <w:gridCol w:w="1309"/>
            </w:tblGrid>
            <w:tr w:rsidR="001625EC" w:rsidRPr="00D61E32" w14:paraId="1DE224FC" w14:textId="77777777">
              <w:trPr>
                <w:trHeight w:val="290"/>
              </w:trPr>
              <w:tc>
                <w:tcPr>
                  <w:tcW w:w="1980" w:type="dxa"/>
                  <w:tcBorders>
                    <w:top w:val="single" w:sz="4" w:space="0" w:color="auto"/>
                    <w:left w:val="single" w:sz="8" w:space="0" w:color="auto"/>
                    <w:bottom w:val="single" w:sz="4" w:space="0" w:color="auto"/>
                    <w:right w:val="single" w:sz="8" w:space="0" w:color="auto"/>
                  </w:tcBorders>
                  <w:shd w:val="clear" w:color="auto" w:fill="D9D9D9"/>
                  <w:noWrap/>
                  <w:vAlign w:val="bottom"/>
                  <w:hideMark/>
                </w:tcPr>
                <w:p w14:paraId="2B53E184"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NETWORK </w:t>
                  </w:r>
                </w:p>
              </w:tc>
              <w:tc>
                <w:tcPr>
                  <w:tcW w:w="1280" w:type="dxa"/>
                  <w:tcBorders>
                    <w:top w:val="single" w:sz="4" w:space="0" w:color="auto"/>
                    <w:left w:val="nil"/>
                    <w:bottom w:val="single" w:sz="4" w:space="0" w:color="auto"/>
                    <w:right w:val="single" w:sz="4" w:space="0" w:color="auto"/>
                  </w:tcBorders>
                  <w:shd w:val="clear" w:color="auto" w:fill="D9D9D9"/>
                  <w:noWrap/>
                  <w:vAlign w:val="bottom"/>
                  <w:hideMark/>
                </w:tcPr>
                <w:p w14:paraId="4BFF44F1"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INN</w:t>
                  </w:r>
                </w:p>
              </w:tc>
              <w:tc>
                <w:tcPr>
                  <w:tcW w:w="1280" w:type="dxa"/>
                  <w:tcBorders>
                    <w:top w:val="single" w:sz="4" w:space="0" w:color="auto"/>
                    <w:left w:val="nil"/>
                    <w:bottom w:val="single" w:sz="4" w:space="0" w:color="auto"/>
                    <w:right w:val="single" w:sz="4" w:space="0" w:color="auto"/>
                  </w:tcBorders>
                  <w:shd w:val="clear" w:color="auto" w:fill="D9D9D9"/>
                  <w:noWrap/>
                  <w:vAlign w:val="bottom"/>
                  <w:hideMark/>
                </w:tcPr>
                <w:p w14:paraId="1B04B00A"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OON</w:t>
                  </w:r>
                </w:p>
              </w:tc>
            </w:tr>
            <w:tr w:rsidR="001625EC" w:rsidRPr="00D61E32" w14:paraId="394844C8" w14:textId="77777777">
              <w:trPr>
                <w:trHeight w:val="300"/>
              </w:trPr>
              <w:tc>
                <w:tcPr>
                  <w:tcW w:w="1980" w:type="dxa"/>
                  <w:tcBorders>
                    <w:top w:val="nil"/>
                    <w:left w:val="single" w:sz="8" w:space="0" w:color="auto"/>
                    <w:bottom w:val="single" w:sz="8" w:space="0" w:color="auto"/>
                    <w:right w:val="single" w:sz="8" w:space="0" w:color="auto"/>
                  </w:tcBorders>
                  <w:shd w:val="clear" w:color="auto" w:fill="D9D9D9"/>
                  <w:noWrap/>
                  <w:vAlign w:val="bottom"/>
                  <w:hideMark/>
                </w:tcPr>
                <w:p w14:paraId="07B1979D"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Auth Type</w:t>
                  </w:r>
                </w:p>
              </w:tc>
              <w:tc>
                <w:tcPr>
                  <w:tcW w:w="1280" w:type="dxa"/>
                  <w:tcBorders>
                    <w:top w:val="nil"/>
                    <w:left w:val="nil"/>
                    <w:bottom w:val="single" w:sz="8" w:space="0" w:color="auto"/>
                    <w:right w:val="single" w:sz="4" w:space="0" w:color="auto"/>
                  </w:tcBorders>
                  <w:shd w:val="clear" w:color="auto" w:fill="D9D9D9"/>
                  <w:noWrap/>
                  <w:vAlign w:val="bottom"/>
                  <w:hideMark/>
                </w:tcPr>
                <w:p w14:paraId="43122120"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Concurrent</w:t>
                  </w:r>
                </w:p>
              </w:tc>
              <w:tc>
                <w:tcPr>
                  <w:tcW w:w="1280" w:type="dxa"/>
                  <w:tcBorders>
                    <w:top w:val="nil"/>
                    <w:left w:val="nil"/>
                    <w:bottom w:val="single" w:sz="8" w:space="0" w:color="auto"/>
                    <w:right w:val="single" w:sz="4" w:space="0" w:color="auto"/>
                  </w:tcBorders>
                  <w:shd w:val="clear" w:color="auto" w:fill="D9D9D9"/>
                  <w:noWrap/>
                  <w:vAlign w:val="bottom"/>
                  <w:hideMark/>
                </w:tcPr>
                <w:p w14:paraId="298DA038"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Concurrent</w:t>
                  </w:r>
                </w:p>
              </w:tc>
            </w:tr>
            <w:tr w:rsidR="001625EC" w:rsidRPr="00D61E32" w14:paraId="00B0E9FC" w14:textId="77777777">
              <w:trPr>
                <w:trHeight w:val="290"/>
              </w:trPr>
              <w:tc>
                <w:tcPr>
                  <w:tcW w:w="1980" w:type="dxa"/>
                  <w:tcBorders>
                    <w:top w:val="nil"/>
                    <w:left w:val="single" w:sz="8" w:space="0" w:color="auto"/>
                    <w:bottom w:val="single" w:sz="4" w:space="0" w:color="auto"/>
                    <w:right w:val="single" w:sz="8" w:space="0" w:color="auto"/>
                  </w:tcBorders>
                  <w:shd w:val="clear" w:color="auto" w:fill="757171"/>
                  <w:noWrap/>
                  <w:vAlign w:val="bottom"/>
                  <w:hideMark/>
                </w:tcPr>
                <w:p w14:paraId="24838E97"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MED SURG </w:t>
                  </w:r>
                </w:p>
              </w:tc>
              <w:tc>
                <w:tcPr>
                  <w:tcW w:w="1280" w:type="dxa"/>
                  <w:tcBorders>
                    <w:top w:val="nil"/>
                    <w:left w:val="nil"/>
                    <w:bottom w:val="single" w:sz="4" w:space="0" w:color="auto"/>
                    <w:right w:val="single" w:sz="4" w:space="0" w:color="auto"/>
                  </w:tcBorders>
                  <w:shd w:val="clear" w:color="auto" w:fill="757171"/>
                  <w:noWrap/>
                  <w:vAlign w:val="bottom"/>
                  <w:hideMark/>
                </w:tcPr>
                <w:p w14:paraId="6601F9D7"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628</w:t>
                  </w:r>
                </w:p>
              </w:tc>
              <w:tc>
                <w:tcPr>
                  <w:tcW w:w="1280" w:type="dxa"/>
                  <w:tcBorders>
                    <w:top w:val="nil"/>
                    <w:left w:val="nil"/>
                    <w:bottom w:val="single" w:sz="4" w:space="0" w:color="auto"/>
                    <w:right w:val="single" w:sz="4" w:space="0" w:color="auto"/>
                  </w:tcBorders>
                  <w:shd w:val="clear" w:color="auto" w:fill="757171"/>
                  <w:noWrap/>
                  <w:vAlign w:val="bottom"/>
                  <w:hideMark/>
                </w:tcPr>
                <w:p w14:paraId="74DA95C7"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6</w:t>
                  </w:r>
                </w:p>
              </w:tc>
            </w:tr>
            <w:tr w:rsidR="001625EC" w:rsidRPr="00D61E32" w14:paraId="321196C8"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1E0D113C"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Approvals</w:t>
                  </w:r>
                </w:p>
              </w:tc>
              <w:tc>
                <w:tcPr>
                  <w:tcW w:w="1280" w:type="dxa"/>
                  <w:tcBorders>
                    <w:top w:val="nil"/>
                    <w:left w:val="nil"/>
                    <w:bottom w:val="single" w:sz="4" w:space="0" w:color="auto"/>
                    <w:right w:val="single" w:sz="4" w:space="0" w:color="auto"/>
                  </w:tcBorders>
                  <w:noWrap/>
                  <w:vAlign w:val="bottom"/>
                  <w:hideMark/>
                </w:tcPr>
                <w:p w14:paraId="765AF679"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505</w:t>
                  </w:r>
                </w:p>
              </w:tc>
              <w:tc>
                <w:tcPr>
                  <w:tcW w:w="1280" w:type="dxa"/>
                  <w:tcBorders>
                    <w:top w:val="nil"/>
                    <w:left w:val="nil"/>
                    <w:bottom w:val="single" w:sz="4" w:space="0" w:color="auto"/>
                    <w:right w:val="single" w:sz="4" w:space="0" w:color="auto"/>
                  </w:tcBorders>
                  <w:noWrap/>
                  <w:vAlign w:val="bottom"/>
                  <w:hideMark/>
                </w:tcPr>
                <w:p w14:paraId="1AAE76D5"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4</w:t>
                  </w:r>
                </w:p>
              </w:tc>
            </w:tr>
            <w:tr w:rsidR="001625EC" w:rsidRPr="00D61E32" w14:paraId="101A702B" w14:textId="77777777">
              <w:trPr>
                <w:trHeight w:val="300"/>
              </w:trPr>
              <w:tc>
                <w:tcPr>
                  <w:tcW w:w="1980" w:type="dxa"/>
                  <w:tcBorders>
                    <w:top w:val="nil"/>
                    <w:left w:val="single" w:sz="8" w:space="0" w:color="auto"/>
                    <w:bottom w:val="nil"/>
                    <w:right w:val="single" w:sz="8" w:space="0" w:color="auto"/>
                  </w:tcBorders>
                  <w:noWrap/>
                  <w:vAlign w:val="bottom"/>
                  <w:hideMark/>
                </w:tcPr>
                <w:p w14:paraId="67D2427B"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Denials</w:t>
                  </w:r>
                </w:p>
              </w:tc>
              <w:tc>
                <w:tcPr>
                  <w:tcW w:w="1280" w:type="dxa"/>
                  <w:tcBorders>
                    <w:top w:val="nil"/>
                    <w:left w:val="nil"/>
                    <w:bottom w:val="single" w:sz="4" w:space="0" w:color="auto"/>
                    <w:right w:val="single" w:sz="4" w:space="0" w:color="auto"/>
                  </w:tcBorders>
                  <w:noWrap/>
                  <w:vAlign w:val="bottom"/>
                  <w:hideMark/>
                </w:tcPr>
                <w:p w14:paraId="084D61FF"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123</w:t>
                  </w:r>
                </w:p>
              </w:tc>
              <w:tc>
                <w:tcPr>
                  <w:tcW w:w="1280" w:type="dxa"/>
                  <w:tcBorders>
                    <w:top w:val="nil"/>
                    <w:left w:val="nil"/>
                    <w:bottom w:val="single" w:sz="4" w:space="0" w:color="auto"/>
                    <w:right w:val="single" w:sz="4" w:space="0" w:color="auto"/>
                  </w:tcBorders>
                  <w:noWrap/>
                  <w:vAlign w:val="bottom"/>
                  <w:hideMark/>
                </w:tcPr>
                <w:p w14:paraId="1BB52A0A"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2</w:t>
                  </w:r>
                </w:p>
              </w:tc>
            </w:tr>
            <w:tr w:rsidR="001625EC" w:rsidRPr="00D61E32" w14:paraId="0714A835" w14:textId="77777777">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614DCD61" w14:textId="77777777" w:rsidR="001625EC" w:rsidRPr="00D61E32" w:rsidRDefault="001625EC">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MedSurg</w:t>
                  </w:r>
                  <w:proofErr w:type="spellEnd"/>
                  <w:r w:rsidRPr="00D61E32">
                    <w:rPr>
                      <w:rFonts w:ascii="Century Gothic" w:eastAsia="Times New Roman" w:hAnsi="Century Gothic" w:cs="Calibri"/>
                      <w:b/>
                      <w:bCs/>
                      <w:color w:val="000000"/>
                    </w:rPr>
                    <w:t xml:space="preserve"> % Denied</w:t>
                  </w:r>
                </w:p>
              </w:tc>
              <w:tc>
                <w:tcPr>
                  <w:tcW w:w="1280" w:type="dxa"/>
                  <w:tcBorders>
                    <w:top w:val="nil"/>
                    <w:left w:val="nil"/>
                    <w:bottom w:val="single" w:sz="8" w:space="0" w:color="auto"/>
                    <w:right w:val="single" w:sz="4" w:space="0" w:color="auto"/>
                  </w:tcBorders>
                  <w:shd w:val="clear" w:color="auto" w:fill="B4C6E7"/>
                  <w:noWrap/>
                  <w:vAlign w:val="bottom"/>
                  <w:hideMark/>
                </w:tcPr>
                <w:p w14:paraId="00CCDF14" w14:textId="77777777" w:rsidR="001625EC" w:rsidRPr="00D61E32" w:rsidRDefault="001625EC">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20%</w:t>
                  </w:r>
                </w:p>
              </w:tc>
              <w:tc>
                <w:tcPr>
                  <w:tcW w:w="1280" w:type="dxa"/>
                  <w:tcBorders>
                    <w:top w:val="nil"/>
                    <w:left w:val="nil"/>
                    <w:bottom w:val="single" w:sz="8" w:space="0" w:color="auto"/>
                    <w:right w:val="single" w:sz="4" w:space="0" w:color="auto"/>
                  </w:tcBorders>
                  <w:shd w:val="clear" w:color="auto" w:fill="B4C6E7"/>
                  <w:noWrap/>
                  <w:vAlign w:val="bottom"/>
                  <w:hideMark/>
                </w:tcPr>
                <w:p w14:paraId="4E96B7C4" w14:textId="77777777" w:rsidR="001625EC" w:rsidRPr="00D61E32" w:rsidRDefault="001625EC">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33%</w:t>
                  </w:r>
                </w:p>
              </w:tc>
            </w:tr>
          </w:tbl>
          <w:p w14:paraId="3E85BB91" w14:textId="77777777" w:rsidR="001625EC" w:rsidRPr="00D61E32" w:rsidRDefault="001625EC">
            <w:pPr>
              <w:rPr>
                <w:rFonts w:ascii="Century Gothic" w:eastAsia="Times New Roman" w:hAnsi="Century Gothic" w:cs="Arial"/>
                <w:b/>
                <w:bCs/>
              </w:rPr>
            </w:pPr>
          </w:p>
          <w:p w14:paraId="2B797A00" w14:textId="77777777" w:rsidR="001625EC" w:rsidRPr="00D61E32" w:rsidRDefault="001625EC">
            <w:pPr>
              <w:rPr>
                <w:rFonts w:ascii="Century Gothic" w:hAnsi="Century Gothic" w:cs="Arial"/>
              </w:rPr>
            </w:pPr>
            <w:r w:rsidRPr="00D61E32">
              <w:rPr>
                <w:rFonts w:ascii="Century Gothic" w:hAnsi="Century Gothic" w:cs="Arial"/>
              </w:rPr>
              <w:t xml:space="preserve">The data above shows that 20% of inpatient in-network prior authorizations were denied and 33% of inpatient out-of-network concurrent reviews were denied. </w:t>
            </w:r>
          </w:p>
          <w:p w14:paraId="6E4A210C" w14:textId="77777777" w:rsidR="001625EC" w:rsidRPr="00D61E32" w:rsidRDefault="001625EC">
            <w:pPr>
              <w:rPr>
                <w:rFonts w:ascii="Century Gothic" w:hAnsi="Century Gothic" w:cs="Arial"/>
                <w:b/>
                <w:bCs/>
                <w:color w:val="FF0000"/>
              </w:rPr>
            </w:pPr>
          </w:p>
          <w:p w14:paraId="2CE2BB67" w14:textId="77777777" w:rsidR="001625EC" w:rsidRPr="00D61E32" w:rsidRDefault="001625EC">
            <w:pPr>
              <w:rPr>
                <w:rFonts w:ascii="Century Gothic" w:eastAsia="Times New Roman" w:hAnsi="Century Gothic" w:cs="Arial"/>
                <w:color w:val="FF0000"/>
              </w:rPr>
            </w:pPr>
          </w:p>
          <w:p w14:paraId="113C2394" w14:textId="77777777" w:rsidR="001625EC" w:rsidRPr="00D61E32" w:rsidRDefault="001625EC">
            <w:pPr>
              <w:rPr>
                <w:rFonts w:ascii="Century Gothic" w:eastAsia="Times New Roman" w:hAnsi="Century Gothic" w:cs="Arial"/>
                <w:color w:val="FF0000"/>
              </w:rPr>
            </w:pPr>
          </w:p>
          <w:p w14:paraId="4B2DB158" w14:textId="77777777" w:rsidR="001625EC" w:rsidRPr="00D61E32" w:rsidRDefault="001625EC">
            <w:pPr>
              <w:rPr>
                <w:rFonts w:ascii="Century Gothic" w:eastAsia="Times New Roman" w:hAnsi="Century Gothic" w:cs="Arial"/>
                <w:color w:val="FF0000"/>
              </w:rPr>
            </w:pPr>
          </w:p>
          <w:p w14:paraId="32F948DF" w14:textId="77777777" w:rsidR="001625EC" w:rsidRPr="00D61E32" w:rsidRDefault="001625EC">
            <w:pPr>
              <w:rPr>
                <w:rFonts w:ascii="Century Gothic" w:eastAsia="Times New Roman" w:hAnsi="Century Gothic" w:cs="Arial"/>
                <w:color w:val="FF0000"/>
              </w:rPr>
            </w:pPr>
          </w:p>
          <w:p w14:paraId="206D6CEE" w14:textId="77777777" w:rsidR="001625EC" w:rsidRPr="00D61E32" w:rsidRDefault="001625EC">
            <w:pPr>
              <w:rPr>
                <w:rFonts w:ascii="Century Gothic" w:eastAsia="Times New Roman" w:hAnsi="Century Gothic" w:cs="Arial"/>
                <w:color w:val="FF0000"/>
              </w:rPr>
            </w:pPr>
          </w:p>
          <w:p w14:paraId="20F898BD" w14:textId="77777777" w:rsidR="001625EC" w:rsidRPr="00D61E32" w:rsidRDefault="001625EC">
            <w:pPr>
              <w:rPr>
                <w:rFonts w:ascii="Century Gothic" w:eastAsia="Times New Roman" w:hAnsi="Century Gothic" w:cs="Arial"/>
                <w:color w:val="FF0000"/>
              </w:rPr>
            </w:pPr>
          </w:p>
          <w:p w14:paraId="6854FC0F" w14:textId="77777777" w:rsidR="001625EC" w:rsidRPr="00D61E32" w:rsidRDefault="001625EC">
            <w:pPr>
              <w:rPr>
                <w:rFonts w:ascii="Century Gothic" w:eastAsia="Times New Roman" w:hAnsi="Century Gothic" w:cs="Arial"/>
                <w:color w:val="FF0000"/>
              </w:rPr>
            </w:pPr>
          </w:p>
          <w:p w14:paraId="6D90F394" w14:textId="77777777" w:rsidR="001625EC" w:rsidRPr="00D61E32" w:rsidRDefault="001625EC">
            <w:pPr>
              <w:rPr>
                <w:rFonts w:ascii="Century Gothic" w:eastAsia="Times New Roman" w:hAnsi="Century Gothic" w:cs="Arial"/>
                <w:color w:val="FF0000"/>
              </w:rPr>
            </w:pPr>
          </w:p>
          <w:p w14:paraId="6CDD5E6A" w14:textId="77777777" w:rsidR="001625EC" w:rsidRPr="00D61E32" w:rsidRDefault="001625EC">
            <w:pPr>
              <w:rPr>
                <w:rFonts w:ascii="Century Gothic" w:hAnsi="Century Gothic" w:cs="Arial"/>
                <w:b/>
                <w:bCs/>
              </w:rPr>
            </w:pPr>
            <w:r w:rsidRPr="00D61E32">
              <w:rPr>
                <w:rFonts w:ascii="Century Gothic" w:hAnsi="Century Gothic" w:cs="Arial"/>
                <w:b/>
                <w:bCs/>
              </w:rPr>
              <w:t>Appeals Data – Inpatient</w:t>
            </w:r>
          </w:p>
          <w:p w14:paraId="4353BA52" w14:textId="7D1DAF0F" w:rsidR="001625EC" w:rsidRPr="00D61E32" w:rsidRDefault="001625EC">
            <w:pPr>
              <w:rPr>
                <w:rFonts w:ascii="Century Gothic" w:eastAsia="Times New Roman" w:hAnsi="Century Gothic" w:cs="Arial"/>
                <w:color w:val="FF0000"/>
              </w:rPr>
            </w:pPr>
            <w:r w:rsidRPr="00D61E32">
              <w:rPr>
                <w:rFonts w:ascii="Century Gothic" w:hAnsi="Century Gothic" w:cs="Arial"/>
              </w:rPr>
              <w:t>There were no concurrent review appeals noted across Wellfleet Cigna book-of-business</w:t>
            </w:r>
          </w:p>
        </w:tc>
        <w:tc>
          <w:tcPr>
            <w:tcW w:w="2500" w:type="pct"/>
            <w:tcBorders>
              <w:top w:val="single" w:sz="4" w:space="0" w:color="auto"/>
              <w:left w:val="single" w:sz="4" w:space="0" w:color="auto"/>
              <w:bottom w:val="single" w:sz="4" w:space="0" w:color="auto"/>
              <w:right w:val="single" w:sz="4" w:space="0" w:color="auto"/>
            </w:tcBorders>
          </w:tcPr>
          <w:p w14:paraId="1FF26566" w14:textId="3F675BE6" w:rsidR="001625EC" w:rsidRPr="00E70A33" w:rsidRDefault="001625EC">
            <w:pPr>
              <w:rPr>
                <w:rFonts w:ascii="Century Gothic" w:eastAsia="Times New Roman" w:hAnsi="Century Gothic" w:cs="Arial"/>
              </w:rPr>
            </w:pPr>
            <w:r w:rsidRPr="00D61E32">
              <w:rPr>
                <w:rFonts w:ascii="Century Gothic" w:eastAsia="Times New Roman" w:hAnsi="Century Gothic" w:cs="Arial"/>
                <w:b/>
                <w:i/>
              </w:rPr>
              <w:t>Step 4(b) : Identify and define the factors and processes that are used to monitor and evaluate the application of Concurrent Review for MH/SUD benefits</w:t>
            </w:r>
            <w:r w:rsidRPr="00D61E32">
              <w:rPr>
                <w:rFonts w:ascii="Century Gothic" w:eastAsia="Times New Roman" w:hAnsi="Century Gothic" w:cs="Arial"/>
              </w:rPr>
              <w:t>:</w:t>
            </w:r>
          </w:p>
          <w:p w14:paraId="3128B2C7" w14:textId="77777777" w:rsidR="001625EC" w:rsidRPr="00D61E32" w:rsidRDefault="001625EC">
            <w:pPr>
              <w:rPr>
                <w:rFonts w:ascii="Century Gothic" w:hAnsi="Century Gothic" w:cs="Arial"/>
                <w:b/>
                <w:bCs/>
              </w:rPr>
            </w:pPr>
            <w:r w:rsidRPr="00D61E32">
              <w:rPr>
                <w:rFonts w:ascii="Century Gothic" w:hAnsi="Century Gothic" w:cs="Arial"/>
                <w:b/>
                <w:bCs/>
              </w:rPr>
              <w:t xml:space="preserve">2023 Data </w:t>
            </w:r>
            <w:r w:rsidRPr="00D61E32">
              <w:rPr>
                <w:rFonts w:ascii="Century Gothic" w:hAnsi="Century Gothic" w:cs="Arial"/>
              </w:rPr>
              <w:t>– Wellfleet delegates Utilization Management, including Prior Authorization, to Cigna.  The below data represents an analysis of concurrent review requests across Wellfleet’s Book of Business from January 1, 2023 – December 31, 2023.</w:t>
            </w:r>
            <w:r w:rsidRPr="00D61E32">
              <w:rPr>
                <w:rFonts w:ascii="Century Gothic" w:hAnsi="Century Gothic" w:cs="Arial"/>
                <w:b/>
                <w:bCs/>
              </w:rPr>
              <w:t xml:space="preserve"> </w:t>
            </w:r>
          </w:p>
          <w:p w14:paraId="015F4308" w14:textId="77777777" w:rsidR="001625EC" w:rsidRPr="00D61E32" w:rsidRDefault="001625EC">
            <w:pPr>
              <w:rPr>
                <w:rFonts w:ascii="Century Gothic" w:hAnsi="Century Gothic" w:cs="Arial"/>
                <w:b/>
                <w:bCs/>
              </w:rPr>
            </w:pPr>
            <w:r w:rsidRPr="00D61E32">
              <w:rPr>
                <w:rFonts w:ascii="Century Gothic" w:hAnsi="Century Gothic" w:cs="Arial"/>
                <w:b/>
                <w:bCs/>
              </w:rPr>
              <w:t>Inpatient Prior Authorization Denial Rates</w:t>
            </w:r>
          </w:p>
          <w:tbl>
            <w:tblPr>
              <w:tblW w:w="4540" w:type="dxa"/>
              <w:tblLook w:val="04A0" w:firstRow="1" w:lastRow="0" w:firstColumn="1" w:lastColumn="0" w:noHBand="0" w:noVBand="1"/>
            </w:tblPr>
            <w:tblGrid>
              <w:gridCol w:w="1826"/>
              <w:gridCol w:w="1309"/>
              <w:gridCol w:w="1309"/>
            </w:tblGrid>
            <w:tr w:rsidR="001625EC" w:rsidRPr="00D61E32" w14:paraId="07929394" w14:textId="77777777">
              <w:trPr>
                <w:trHeight w:val="580"/>
              </w:trPr>
              <w:tc>
                <w:tcPr>
                  <w:tcW w:w="1980" w:type="dxa"/>
                  <w:tcBorders>
                    <w:top w:val="single" w:sz="8" w:space="0" w:color="auto"/>
                    <w:left w:val="single" w:sz="8" w:space="0" w:color="auto"/>
                    <w:bottom w:val="single" w:sz="4" w:space="0" w:color="auto"/>
                    <w:right w:val="single" w:sz="8" w:space="0" w:color="auto"/>
                  </w:tcBorders>
                  <w:shd w:val="clear" w:color="auto" w:fill="D9D9D9"/>
                  <w:vAlign w:val="bottom"/>
                  <w:hideMark/>
                </w:tcPr>
                <w:p w14:paraId="3E9B2900"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UR Service Level </w:t>
                  </w:r>
                </w:p>
              </w:tc>
              <w:tc>
                <w:tcPr>
                  <w:tcW w:w="1280" w:type="dxa"/>
                  <w:tcBorders>
                    <w:top w:val="single" w:sz="8" w:space="0" w:color="auto"/>
                    <w:left w:val="nil"/>
                    <w:bottom w:val="single" w:sz="4" w:space="0" w:color="auto"/>
                    <w:right w:val="single" w:sz="4" w:space="0" w:color="auto"/>
                  </w:tcBorders>
                  <w:shd w:val="clear" w:color="auto" w:fill="D9D9D9"/>
                  <w:vAlign w:val="bottom"/>
                  <w:hideMark/>
                </w:tcPr>
                <w:p w14:paraId="6180CD73" w14:textId="77777777" w:rsidR="001625EC" w:rsidRPr="00D61E32" w:rsidRDefault="001625EC">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Inpt</w:t>
                  </w:r>
                  <w:proofErr w:type="spellEnd"/>
                  <w:r w:rsidRPr="00D61E32">
                    <w:rPr>
                      <w:rFonts w:ascii="Century Gothic" w:eastAsia="Times New Roman" w:hAnsi="Century Gothic" w:cs="Calibri"/>
                      <w:b/>
                      <w:bCs/>
                      <w:color w:val="000000"/>
                    </w:rPr>
                    <w:t xml:space="preserve"> </w:t>
                  </w:r>
                </w:p>
              </w:tc>
              <w:tc>
                <w:tcPr>
                  <w:tcW w:w="1280" w:type="dxa"/>
                  <w:tcBorders>
                    <w:top w:val="single" w:sz="8" w:space="0" w:color="auto"/>
                    <w:left w:val="nil"/>
                    <w:bottom w:val="single" w:sz="4" w:space="0" w:color="auto"/>
                    <w:right w:val="single" w:sz="4" w:space="0" w:color="auto"/>
                  </w:tcBorders>
                  <w:shd w:val="clear" w:color="auto" w:fill="D9D9D9"/>
                  <w:vAlign w:val="bottom"/>
                  <w:hideMark/>
                </w:tcPr>
                <w:p w14:paraId="2556A206" w14:textId="77777777" w:rsidR="001625EC" w:rsidRPr="00D61E32" w:rsidRDefault="001625EC">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Inpt</w:t>
                  </w:r>
                  <w:proofErr w:type="spellEnd"/>
                  <w:r w:rsidRPr="00D61E32">
                    <w:rPr>
                      <w:rFonts w:ascii="Century Gothic" w:eastAsia="Times New Roman" w:hAnsi="Century Gothic" w:cs="Calibri"/>
                      <w:b/>
                      <w:bCs/>
                      <w:color w:val="000000"/>
                    </w:rPr>
                    <w:t xml:space="preserve"> </w:t>
                  </w:r>
                </w:p>
              </w:tc>
            </w:tr>
            <w:tr w:rsidR="001625EC" w:rsidRPr="00D61E32" w14:paraId="4C13B632" w14:textId="77777777">
              <w:trPr>
                <w:trHeight w:val="290"/>
              </w:trPr>
              <w:tc>
                <w:tcPr>
                  <w:tcW w:w="1980" w:type="dxa"/>
                  <w:tcBorders>
                    <w:top w:val="nil"/>
                    <w:left w:val="single" w:sz="8" w:space="0" w:color="auto"/>
                    <w:bottom w:val="single" w:sz="4" w:space="0" w:color="auto"/>
                    <w:right w:val="single" w:sz="8" w:space="0" w:color="auto"/>
                  </w:tcBorders>
                  <w:shd w:val="clear" w:color="auto" w:fill="D9D9D9"/>
                  <w:noWrap/>
                  <w:vAlign w:val="bottom"/>
                  <w:hideMark/>
                </w:tcPr>
                <w:p w14:paraId="1D344E9D"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NETWORK </w:t>
                  </w:r>
                </w:p>
              </w:tc>
              <w:tc>
                <w:tcPr>
                  <w:tcW w:w="1280" w:type="dxa"/>
                  <w:tcBorders>
                    <w:top w:val="nil"/>
                    <w:left w:val="nil"/>
                    <w:bottom w:val="single" w:sz="4" w:space="0" w:color="auto"/>
                    <w:right w:val="single" w:sz="4" w:space="0" w:color="auto"/>
                  </w:tcBorders>
                  <w:shd w:val="clear" w:color="auto" w:fill="D9D9D9"/>
                  <w:noWrap/>
                  <w:vAlign w:val="bottom"/>
                  <w:hideMark/>
                </w:tcPr>
                <w:p w14:paraId="7AB89933"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INN</w:t>
                  </w:r>
                </w:p>
              </w:tc>
              <w:tc>
                <w:tcPr>
                  <w:tcW w:w="1280" w:type="dxa"/>
                  <w:tcBorders>
                    <w:top w:val="nil"/>
                    <w:left w:val="nil"/>
                    <w:bottom w:val="single" w:sz="4" w:space="0" w:color="auto"/>
                    <w:right w:val="single" w:sz="4" w:space="0" w:color="auto"/>
                  </w:tcBorders>
                  <w:shd w:val="clear" w:color="auto" w:fill="D9D9D9"/>
                  <w:noWrap/>
                  <w:vAlign w:val="bottom"/>
                  <w:hideMark/>
                </w:tcPr>
                <w:p w14:paraId="16DA3443"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OON</w:t>
                  </w:r>
                </w:p>
              </w:tc>
            </w:tr>
            <w:tr w:rsidR="001625EC" w:rsidRPr="00D61E32" w14:paraId="67FB55B1" w14:textId="77777777">
              <w:trPr>
                <w:trHeight w:val="300"/>
              </w:trPr>
              <w:tc>
                <w:tcPr>
                  <w:tcW w:w="1980" w:type="dxa"/>
                  <w:tcBorders>
                    <w:top w:val="nil"/>
                    <w:left w:val="single" w:sz="8" w:space="0" w:color="auto"/>
                    <w:bottom w:val="single" w:sz="8" w:space="0" w:color="auto"/>
                    <w:right w:val="single" w:sz="8" w:space="0" w:color="auto"/>
                  </w:tcBorders>
                  <w:shd w:val="clear" w:color="auto" w:fill="D9D9D9"/>
                  <w:noWrap/>
                  <w:vAlign w:val="bottom"/>
                  <w:hideMark/>
                </w:tcPr>
                <w:p w14:paraId="2B417D6C"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Auth Type</w:t>
                  </w:r>
                </w:p>
              </w:tc>
              <w:tc>
                <w:tcPr>
                  <w:tcW w:w="1280" w:type="dxa"/>
                  <w:tcBorders>
                    <w:top w:val="nil"/>
                    <w:left w:val="nil"/>
                    <w:bottom w:val="single" w:sz="8" w:space="0" w:color="auto"/>
                    <w:right w:val="single" w:sz="4" w:space="0" w:color="auto"/>
                  </w:tcBorders>
                  <w:shd w:val="clear" w:color="auto" w:fill="D9D9D9"/>
                  <w:noWrap/>
                  <w:vAlign w:val="bottom"/>
                  <w:hideMark/>
                </w:tcPr>
                <w:p w14:paraId="0A75693C"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Concurrent</w:t>
                  </w:r>
                </w:p>
              </w:tc>
              <w:tc>
                <w:tcPr>
                  <w:tcW w:w="1280" w:type="dxa"/>
                  <w:tcBorders>
                    <w:top w:val="nil"/>
                    <w:left w:val="nil"/>
                    <w:bottom w:val="single" w:sz="8" w:space="0" w:color="auto"/>
                    <w:right w:val="single" w:sz="4" w:space="0" w:color="auto"/>
                  </w:tcBorders>
                  <w:shd w:val="clear" w:color="auto" w:fill="D9D9D9"/>
                  <w:noWrap/>
                  <w:vAlign w:val="bottom"/>
                  <w:hideMark/>
                </w:tcPr>
                <w:p w14:paraId="5552E3D5"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Concurrent</w:t>
                  </w:r>
                </w:p>
              </w:tc>
            </w:tr>
            <w:tr w:rsidR="001625EC" w:rsidRPr="00D61E32" w14:paraId="4A4909E0" w14:textId="77777777">
              <w:trPr>
                <w:trHeight w:val="290"/>
              </w:trPr>
              <w:tc>
                <w:tcPr>
                  <w:tcW w:w="1980" w:type="dxa"/>
                  <w:tcBorders>
                    <w:top w:val="nil"/>
                    <w:left w:val="single" w:sz="8" w:space="0" w:color="auto"/>
                    <w:bottom w:val="single" w:sz="4" w:space="0" w:color="auto"/>
                    <w:right w:val="single" w:sz="8" w:space="0" w:color="auto"/>
                  </w:tcBorders>
                  <w:shd w:val="clear" w:color="auto" w:fill="757171"/>
                  <w:noWrap/>
                  <w:vAlign w:val="bottom"/>
                  <w:hideMark/>
                </w:tcPr>
                <w:p w14:paraId="3013560C"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MH </w:t>
                  </w:r>
                </w:p>
              </w:tc>
              <w:tc>
                <w:tcPr>
                  <w:tcW w:w="1280" w:type="dxa"/>
                  <w:tcBorders>
                    <w:top w:val="nil"/>
                    <w:left w:val="nil"/>
                    <w:bottom w:val="single" w:sz="4" w:space="0" w:color="auto"/>
                    <w:right w:val="single" w:sz="4" w:space="0" w:color="auto"/>
                  </w:tcBorders>
                  <w:shd w:val="clear" w:color="auto" w:fill="757171"/>
                  <w:noWrap/>
                  <w:vAlign w:val="bottom"/>
                  <w:hideMark/>
                </w:tcPr>
                <w:p w14:paraId="70D8CFAA"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713</w:t>
                  </w:r>
                </w:p>
              </w:tc>
              <w:tc>
                <w:tcPr>
                  <w:tcW w:w="1280" w:type="dxa"/>
                  <w:tcBorders>
                    <w:top w:val="nil"/>
                    <w:left w:val="nil"/>
                    <w:bottom w:val="single" w:sz="4" w:space="0" w:color="auto"/>
                    <w:right w:val="single" w:sz="4" w:space="0" w:color="auto"/>
                  </w:tcBorders>
                  <w:shd w:val="clear" w:color="auto" w:fill="757171"/>
                  <w:noWrap/>
                  <w:vAlign w:val="bottom"/>
                  <w:hideMark/>
                </w:tcPr>
                <w:p w14:paraId="48A3ADA2"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146</w:t>
                  </w:r>
                </w:p>
              </w:tc>
            </w:tr>
            <w:tr w:rsidR="001625EC" w:rsidRPr="00D61E32" w14:paraId="60B6F6C6"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6F0CB109"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Approvals</w:t>
                  </w:r>
                </w:p>
              </w:tc>
              <w:tc>
                <w:tcPr>
                  <w:tcW w:w="1280" w:type="dxa"/>
                  <w:tcBorders>
                    <w:top w:val="nil"/>
                    <w:left w:val="nil"/>
                    <w:bottom w:val="single" w:sz="4" w:space="0" w:color="auto"/>
                    <w:right w:val="single" w:sz="4" w:space="0" w:color="auto"/>
                  </w:tcBorders>
                  <w:noWrap/>
                  <w:vAlign w:val="bottom"/>
                  <w:hideMark/>
                </w:tcPr>
                <w:p w14:paraId="54F09E3B"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709</w:t>
                  </w:r>
                </w:p>
              </w:tc>
              <w:tc>
                <w:tcPr>
                  <w:tcW w:w="1280" w:type="dxa"/>
                  <w:tcBorders>
                    <w:top w:val="nil"/>
                    <w:left w:val="nil"/>
                    <w:bottom w:val="single" w:sz="4" w:space="0" w:color="auto"/>
                    <w:right w:val="single" w:sz="4" w:space="0" w:color="auto"/>
                  </w:tcBorders>
                  <w:noWrap/>
                  <w:vAlign w:val="bottom"/>
                  <w:hideMark/>
                </w:tcPr>
                <w:p w14:paraId="2DF30FEE"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141</w:t>
                  </w:r>
                </w:p>
              </w:tc>
            </w:tr>
            <w:tr w:rsidR="001625EC" w:rsidRPr="00D61E32" w14:paraId="4CEE4BFA" w14:textId="77777777">
              <w:trPr>
                <w:trHeight w:val="300"/>
              </w:trPr>
              <w:tc>
                <w:tcPr>
                  <w:tcW w:w="1980" w:type="dxa"/>
                  <w:tcBorders>
                    <w:top w:val="nil"/>
                    <w:left w:val="single" w:sz="8" w:space="0" w:color="auto"/>
                    <w:bottom w:val="nil"/>
                    <w:right w:val="single" w:sz="8" w:space="0" w:color="auto"/>
                  </w:tcBorders>
                  <w:noWrap/>
                  <w:vAlign w:val="bottom"/>
                  <w:hideMark/>
                </w:tcPr>
                <w:p w14:paraId="6625F78C"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Denials</w:t>
                  </w:r>
                </w:p>
              </w:tc>
              <w:tc>
                <w:tcPr>
                  <w:tcW w:w="1280" w:type="dxa"/>
                  <w:tcBorders>
                    <w:top w:val="nil"/>
                    <w:left w:val="nil"/>
                    <w:bottom w:val="single" w:sz="4" w:space="0" w:color="auto"/>
                    <w:right w:val="single" w:sz="4" w:space="0" w:color="auto"/>
                  </w:tcBorders>
                  <w:noWrap/>
                  <w:vAlign w:val="bottom"/>
                  <w:hideMark/>
                </w:tcPr>
                <w:p w14:paraId="5996AC18"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4</w:t>
                  </w:r>
                </w:p>
              </w:tc>
              <w:tc>
                <w:tcPr>
                  <w:tcW w:w="1280" w:type="dxa"/>
                  <w:tcBorders>
                    <w:top w:val="nil"/>
                    <w:left w:val="nil"/>
                    <w:bottom w:val="single" w:sz="4" w:space="0" w:color="auto"/>
                    <w:right w:val="single" w:sz="4" w:space="0" w:color="auto"/>
                  </w:tcBorders>
                  <w:noWrap/>
                  <w:vAlign w:val="bottom"/>
                  <w:hideMark/>
                </w:tcPr>
                <w:p w14:paraId="045506B0"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5</w:t>
                  </w:r>
                </w:p>
              </w:tc>
            </w:tr>
            <w:tr w:rsidR="001625EC" w:rsidRPr="00D61E32" w14:paraId="4405BB02" w14:textId="77777777">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6CE59EF1"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MH % Denied</w:t>
                  </w:r>
                </w:p>
              </w:tc>
              <w:tc>
                <w:tcPr>
                  <w:tcW w:w="1280" w:type="dxa"/>
                  <w:tcBorders>
                    <w:top w:val="nil"/>
                    <w:left w:val="nil"/>
                    <w:bottom w:val="single" w:sz="8" w:space="0" w:color="auto"/>
                    <w:right w:val="single" w:sz="4" w:space="0" w:color="auto"/>
                  </w:tcBorders>
                  <w:shd w:val="clear" w:color="auto" w:fill="B4C6E7"/>
                  <w:noWrap/>
                  <w:vAlign w:val="bottom"/>
                  <w:hideMark/>
                </w:tcPr>
                <w:p w14:paraId="400F7DAF" w14:textId="77777777" w:rsidR="001625EC" w:rsidRPr="00D61E32" w:rsidRDefault="001625EC">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1%</w:t>
                  </w:r>
                </w:p>
              </w:tc>
              <w:tc>
                <w:tcPr>
                  <w:tcW w:w="1280" w:type="dxa"/>
                  <w:tcBorders>
                    <w:top w:val="nil"/>
                    <w:left w:val="nil"/>
                    <w:bottom w:val="single" w:sz="8" w:space="0" w:color="auto"/>
                    <w:right w:val="single" w:sz="4" w:space="0" w:color="auto"/>
                  </w:tcBorders>
                  <w:shd w:val="clear" w:color="auto" w:fill="B4C6E7"/>
                  <w:noWrap/>
                  <w:vAlign w:val="bottom"/>
                  <w:hideMark/>
                </w:tcPr>
                <w:p w14:paraId="2D557F69" w14:textId="77777777" w:rsidR="001625EC" w:rsidRPr="00D61E32" w:rsidRDefault="001625EC">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3%</w:t>
                  </w:r>
                </w:p>
              </w:tc>
            </w:tr>
            <w:tr w:rsidR="001625EC" w:rsidRPr="00D61E32" w14:paraId="66E46F65" w14:textId="77777777">
              <w:trPr>
                <w:trHeight w:val="290"/>
              </w:trPr>
              <w:tc>
                <w:tcPr>
                  <w:tcW w:w="1980" w:type="dxa"/>
                  <w:tcBorders>
                    <w:top w:val="nil"/>
                    <w:left w:val="single" w:sz="8" w:space="0" w:color="auto"/>
                    <w:bottom w:val="single" w:sz="4" w:space="0" w:color="auto"/>
                    <w:right w:val="single" w:sz="8" w:space="0" w:color="auto"/>
                  </w:tcBorders>
                  <w:shd w:val="clear" w:color="auto" w:fill="757171"/>
                  <w:noWrap/>
                  <w:vAlign w:val="bottom"/>
                  <w:hideMark/>
                </w:tcPr>
                <w:p w14:paraId="2AE409BB"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SUD </w:t>
                  </w:r>
                </w:p>
              </w:tc>
              <w:tc>
                <w:tcPr>
                  <w:tcW w:w="1280" w:type="dxa"/>
                  <w:tcBorders>
                    <w:top w:val="nil"/>
                    <w:left w:val="nil"/>
                    <w:bottom w:val="single" w:sz="4" w:space="0" w:color="auto"/>
                    <w:right w:val="single" w:sz="4" w:space="0" w:color="auto"/>
                  </w:tcBorders>
                  <w:shd w:val="clear" w:color="auto" w:fill="757171"/>
                  <w:noWrap/>
                  <w:vAlign w:val="bottom"/>
                  <w:hideMark/>
                </w:tcPr>
                <w:p w14:paraId="095601C9"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33</w:t>
                  </w:r>
                </w:p>
              </w:tc>
              <w:tc>
                <w:tcPr>
                  <w:tcW w:w="1280" w:type="dxa"/>
                  <w:tcBorders>
                    <w:top w:val="nil"/>
                    <w:left w:val="nil"/>
                    <w:bottom w:val="single" w:sz="4" w:space="0" w:color="auto"/>
                    <w:right w:val="single" w:sz="4" w:space="0" w:color="auto"/>
                  </w:tcBorders>
                  <w:shd w:val="clear" w:color="auto" w:fill="757171"/>
                  <w:noWrap/>
                  <w:vAlign w:val="bottom"/>
                  <w:hideMark/>
                </w:tcPr>
                <w:p w14:paraId="438F2DFF"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65</w:t>
                  </w:r>
                </w:p>
              </w:tc>
            </w:tr>
            <w:tr w:rsidR="001625EC" w:rsidRPr="00D61E32" w14:paraId="6F20F773"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649254C6"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Approvals</w:t>
                  </w:r>
                </w:p>
              </w:tc>
              <w:tc>
                <w:tcPr>
                  <w:tcW w:w="1280" w:type="dxa"/>
                  <w:tcBorders>
                    <w:top w:val="nil"/>
                    <w:left w:val="nil"/>
                    <w:bottom w:val="single" w:sz="4" w:space="0" w:color="auto"/>
                    <w:right w:val="single" w:sz="4" w:space="0" w:color="auto"/>
                  </w:tcBorders>
                  <w:noWrap/>
                  <w:vAlign w:val="bottom"/>
                  <w:hideMark/>
                </w:tcPr>
                <w:p w14:paraId="5CCB1D06"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33</w:t>
                  </w:r>
                </w:p>
              </w:tc>
              <w:tc>
                <w:tcPr>
                  <w:tcW w:w="1280" w:type="dxa"/>
                  <w:tcBorders>
                    <w:top w:val="nil"/>
                    <w:left w:val="nil"/>
                    <w:bottom w:val="single" w:sz="4" w:space="0" w:color="auto"/>
                    <w:right w:val="single" w:sz="4" w:space="0" w:color="auto"/>
                  </w:tcBorders>
                  <w:noWrap/>
                  <w:vAlign w:val="bottom"/>
                  <w:hideMark/>
                </w:tcPr>
                <w:p w14:paraId="77255B00"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64</w:t>
                  </w:r>
                </w:p>
              </w:tc>
            </w:tr>
            <w:tr w:rsidR="001625EC" w:rsidRPr="00D61E32" w14:paraId="47A3FE7A" w14:textId="77777777">
              <w:trPr>
                <w:trHeight w:val="300"/>
              </w:trPr>
              <w:tc>
                <w:tcPr>
                  <w:tcW w:w="1980" w:type="dxa"/>
                  <w:tcBorders>
                    <w:top w:val="nil"/>
                    <w:left w:val="single" w:sz="8" w:space="0" w:color="auto"/>
                    <w:bottom w:val="nil"/>
                    <w:right w:val="single" w:sz="8" w:space="0" w:color="auto"/>
                  </w:tcBorders>
                  <w:noWrap/>
                  <w:vAlign w:val="bottom"/>
                  <w:hideMark/>
                </w:tcPr>
                <w:p w14:paraId="5EC1D8B5"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Denials</w:t>
                  </w:r>
                </w:p>
              </w:tc>
              <w:tc>
                <w:tcPr>
                  <w:tcW w:w="1280" w:type="dxa"/>
                  <w:tcBorders>
                    <w:top w:val="nil"/>
                    <w:left w:val="nil"/>
                    <w:bottom w:val="single" w:sz="4" w:space="0" w:color="auto"/>
                    <w:right w:val="single" w:sz="4" w:space="0" w:color="auto"/>
                  </w:tcBorders>
                  <w:noWrap/>
                  <w:vAlign w:val="bottom"/>
                  <w:hideMark/>
                </w:tcPr>
                <w:p w14:paraId="4DA3812D"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4" w:space="0" w:color="auto"/>
                    <w:right w:val="single" w:sz="4" w:space="0" w:color="auto"/>
                  </w:tcBorders>
                  <w:noWrap/>
                  <w:vAlign w:val="bottom"/>
                  <w:hideMark/>
                </w:tcPr>
                <w:p w14:paraId="149F8AFE" w14:textId="77777777" w:rsidR="001625EC" w:rsidRPr="00D61E32" w:rsidRDefault="001625EC">
                  <w:pPr>
                    <w:jc w:val="right"/>
                    <w:rPr>
                      <w:rFonts w:ascii="Century Gothic" w:eastAsia="Times New Roman" w:hAnsi="Century Gothic" w:cs="Calibri"/>
                      <w:color w:val="000000"/>
                    </w:rPr>
                  </w:pPr>
                  <w:r w:rsidRPr="00D61E32">
                    <w:rPr>
                      <w:rFonts w:ascii="Century Gothic" w:eastAsia="Times New Roman" w:hAnsi="Century Gothic" w:cs="Calibri"/>
                      <w:color w:val="000000"/>
                    </w:rPr>
                    <w:t>1</w:t>
                  </w:r>
                </w:p>
              </w:tc>
            </w:tr>
            <w:tr w:rsidR="001625EC" w:rsidRPr="00D61E32" w14:paraId="31EBA017" w14:textId="77777777">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79665DBE" w14:textId="77777777" w:rsidR="001625EC" w:rsidRPr="00D61E32" w:rsidRDefault="001625EC">
                  <w:pPr>
                    <w:rPr>
                      <w:rFonts w:ascii="Century Gothic" w:eastAsia="Times New Roman" w:hAnsi="Century Gothic" w:cs="Calibri"/>
                      <w:b/>
                      <w:bCs/>
                      <w:color w:val="000000"/>
                    </w:rPr>
                  </w:pPr>
                  <w:r w:rsidRPr="00D61E32">
                    <w:rPr>
                      <w:rFonts w:ascii="Century Gothic" w:eastAsia="Times New Roman" w:hAnsi="Century Gothic" w:cs="Calibri"/>
                      <w:b/>
                      <w:bCs/>
                      <w:color w:val="000000"/>
                    </w:rPr>
                    <w:t>SUD % Denied</w:t>
                  </w:r>
                </w:p>
              </w:tc>
              <w:tc>
                <w:tcPr>
                  <w:tcW w:w="1280" w:type="dxa"/>
                  <w:tcBorders>
                    <w:top w:val="nil"/>
                    <w:left w:val="nil"/>
                    <w:bottom w:val="single" w:sz="8" w:space="0" w:color="auto"/>
                    <w:right w:val="single" w:sz="4" w:space="0" w:color="auto"/>
                  </w:tcBorders>
                  <w:shd w:val="clear" w:color="auto" w:fill="B4C6E7"/>
                  <w:noWrap/>
                  <w:vAlign w:val="bottom"/>
                  <w:hideMark/>
                </w:tcPr>
                <w:p w14:paraId="6727308A" w14:textId="77777777" w:rsidR="001625EC" w:rsidRPr="00D61E32" w:rsidRDefault="001625EC">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0%</w:t>
                  </w:r>
                </w:p>
              </w:tc>
              <w:tc>
                <w:tcPr>
                  <w:tcW w:w="1280" w:type="dxa"/>
                  <w:tcBorders>
                    <w:top w:val="nil"/>
                    <w:left w:val="nil"/>
                    <w:bottom w:val="single" w:sz="8" w:space="0" w:color="auto"/>
                    <w:right w:val="single" w:sz="4" w:space="0" w:color="auto"/>
                  </w:tcBorders>
                  <w:shd w:val="clear" w:color="auto" w:fill="B4C6E7"/>
                  <w:noWrap/>
                  <w:vAlign w:val="bottom"/>
                  <w:hideMark/>
                </w:tcPr>
                <w:p w14:paraId="657E1B56" w14:textId="77777777" w:rsidR="001625EC" w:rsidRPr="00D61E32" w:rsidRDefault="001625EC">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2%</w:t>
                  </w:r>
                </w:p>
              </w:tc>
            </w:tr>
          </w:tbl>
          <w:p w14:paraId="5E4C7B2B" w14:textId="7B3D6376" w:rsidR="001625EC" w:rsidRPr="00D61E32" w:rsidRDefault="001625EC">
            <w:pPr>
              <w:rPr>
                <w:rFonts w:ascii="Century Gothic" w:hAnsi="Century Gothic" w:cs="Arial"/>
              </w:rPr>
            </w:pPr>
            <w:r w:rsidRPr="00D61E32">
              <w:rPr>
                <w:rFonts w:ascii="Century Gothic" w:hAnsi="Century Gothic" w:cs="Arial"/>
              </w:rPr>
              <w:t xml:space="preserve">The data above shows that 0% of MH &amp; SUD concurrent reviews were denied in inpatient in-network and 2% denied in out-of-network classifications. This is less stringent compared to the 20% of Med/Surg inpatient in-network concurrent denied, </w:t>
            </w:r>
            <w:proofErr w:type="gramStart"/>
            <w:r w:rsidRPr="00D61E32">
              <w:rPr>
                <w:rFonts w:ascii="Century Gothic" w:hAnsi="Century Gothic" w:cs="Arial"/>
              </w:rPr>
              <w:t>and also</w:t>
            </w:r>
            <w:proofErr w:type="gramEnd"/>
            <w:r w:rsidRPr="00D61E32">
              <w:rPr>
                <w:rFonts w:ascii="Century Gothic" w:hAnsi="Century Gothic" w:cs="Arial"/>
              </w:rPr>
              <w:t xml:space="preserve"> to the 33% of Med/Surg inpatient </w:t>
            </w:r>
            <w:proofErr w:type="spellStart"/>
            <w:r w:rsidRPr="00D61E32">
              <w:rPr>
                <w:rFonts w:ascii="Century Gothic" w:hAnsi="Century Gothic" w:cs="Arial"/>
              </w:rPr>
              <w:t>out-of</w:t>
            </w:r>
            <w:proofErr w:type="spellEnd"/>
            <w:r w:rsidRPr="00D61E32">
              <w:rPr>
                <w:rFonts w:ascii="Century Gothic" w:hAnsi="Century Gothic" w:cs="Arial"/>
              </w:rPr>
              <w:t xml:space="preserve"> network concurrent denied. Therefore, the percentage of denials for MH/SUD services is comparable to, and not more stringent than, the percentage of denials for Med/Surg prior authorization requests.</w:t>
            </w:r>
          </w:p>
          <w:p w14:paraId="371E0626" w14:textId="77777777" w:rsidR="001625EC" w:rsidRPr="00D61E32" w:rsidRDefault="001625EC">
            <w:pPr>
              <w:rPr>
                <w:rFonts w:ascii="Century Gothic" w:hAnsi="Century Gothic" w:cs="Arial"/>
                <w:b/>
                <w:bCs/>
              </w:rPr>
            </w:pPr>
            <w:bookmarkStart w:id="15" w:name="OLE_LINK3"/>
            <w:r w:rsidRPr="00D61E32">
              <w:rPr>
                <w:rFonts w:ascii="Century Gothic" w:hAnsi="Century Gothic" w:cs="Arial"/>
                <w:b/>
                <w:bCs/>
              </w:rPr>
              <w:t>Appeals Data – Inpatient</w:t>
            </w:r>
          </w:p>
          <w:p w14:paraId="15DEBE5E" w14:textId="77777777" w:rsidR="001625EC" w:rsidRPr="00D61E32" w:rsidRDefault="001625EC">
            <w:pPr>
              <w:rPr>
                <w:rFonts w:ascii="Century Gothic" w:hAnsi="Century Gothic" w:cs="Arial"/>
              </w:rPr>
            </w:pPr>
            <w:r w:rsidRPr="00D61E32">
              <w:rPr>
                <w:rFonts w:ascii="Century Gothic" w:hAnsi="Century Gothic" w:cs="Arial"/>
              </w:rPr>
              <w:t>There were no concurrent review appeals noted across Wellfleet Cigna book-of-business</w:t>
            </w:r>
            <w:bookmarkEnd w:id="15"/>
            <w:r w:rsidRPr="00D61E32">
              <w:rPr>
                <w:rFonts w:ascii="Century Gothic" w:hAnsi="Century Gothic" w:cs="Arial"/>
              </w:rPr>
              <w:t xml:space="preserve">. </w:t>
            </w:r>
          </w:p>
        </w:tc>
      </w:tr>
      <w:tr w:rsidR="001625EC" w:rsidRPr="00D61E32" w14:paraId="389041A7" w14:textId="77777777" w:rsidTr="001625EC">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22F89" w14:textId="77777777" w:rsidR="001625EC" w:rsidRPr="00D61E32" w:rsidRDefault="001625EC">
            <w:pPr>
              <w:rPr>
                <w:rFonts w:ascii="Century Gothic" w:eastAsia="Times New Roman" w:hAnsi="Century Gothic" w:cs="Arial"/>
                <w:b/>
                <w:bCs/>
              </w:rPr>
            </w:pPr>
            <w:r w:rsidRPr="00D61E32">
              <w:rPr>
                <w:rFonts w:ascii="Century Gothic" w:eastAsia="Times New Roman" w:hAnsi="Century Gothic" w:cs="Arial"/>
                <w:b/>
                <w:bCs/>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D61E32">
              <w:rPr>
                <w:rFonts w:ascii="Century Gothic" w:eastAsia="Times New Roman" w:hAnsi="Century Gothic" w:cs="Arial"/>
                <w:b/>
                <w:bCs/>
              </w:rPr>
              <w:t>section</w:t>
            </w:r>
            <w:proofErr w:type="gramEnd"/>
          </w:p>
          <w:p w14:paraId="53568099" w14:textId="77777777" w:rsidR="001625EC" w:rsidRPr="00D61E32" w:rsidRDefault="001625EC" w:rsidP="001625EC">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This discussion should include citations to any specific evidence considered and any results of analyses indicating that the plan or coverage is or is not in compliance with MHPAEA</w:t>
            </w:r>
            <w:r w:rsidRPr="00D61E32">
              <w:rPr>
                <w:rStyle w:val="FootnoteReference"/>
                <w:rFonts w:ascii="Century Gothic" w:eastAsia="Times New Roman" w:hAnsi="Century Gothic" w:cs="Arial"/>
                <w:bCs/>
                <w:i/>
              </w:rPr>
              <w:footnoteReference w:id="33"/>
            </w:r>
          </w:p>
        </w:tc>
      </w:tr>
      <w:tr w:rsidR="001625EC" w:rsidRPr="00D61E32" w14:paraId="286C19E4" w14:textId="77777777" w:rsidTr="001625EC">
        <w:trPr>
          <w:trHeight w:val="170"/>
        </w:trPr>
        <w:tc>
          <w:tcPr>
            <w:tcW w:w="5000" w:type="pct"/>
            <w:gridSpan w:val="2"/>
            <w:tcBorders>
              <w:top w:val="single" w:sz="4" w:space="0" w:color="auto"/>
              <w:left w:val="single" w:sz="4" w:space="0" w:color="auto"/>
              <w:bottom w:val="single" w:sz="4" w:space="0" w:color="auto"/>
              <w:right w:val="single" w:sz="4" w:space="0" w:color="auto"/>
            </w:tcBorders>
          </w:tcPr>
          <w:p w14:paraId="7E3D8316" w14:textId="76D1C2C4" w:rsidR="001625EC" w:rsidRPr="00D61E32" w:rsidRDefault="001625EC">
            <w:pPr>
              <w:ind w:right="216"/>
              <w:jc w:val="both"/>
              <w:textAlignment w:val="baseline"/>
              <w:rPr>
                <w:rFonts w:ascii="Century Gothic" w:eastAsia="Arial" w:hAnsi="Century Gothic" w:cs="Arial"/>
              </w:rPr>
            </w:pPr>
            <w:r w:rsidRPr="00D61E32">
              <w:rPr>
                <w:rFonts w:ascii="Century Gothic" w:eastAsia="Arial" w:hAnsi="Century Gothic" w:cs="Arial"/>
                <w:b/>
              </w:rPr>
              <w:t xml:space="preserve">As written: </w:t>
            </w:r>
            <w:r w:rsidRPr="00D61E32">
              <w:rPr>
                <w:rFonts w:ascii="Century Gothic" w:eastAsia="Arial" w:hAnsi="Century Gothic" w:cs="Arial"/>
              </w:rPr>
              <w:t xml:space="preserve">All sources, evidentiary standards, and other factors used to apply CR to MH/SUD benefits, </w:t>
            </w:r>
            <w:r w:rsidRPr="00D61E32">
              <w:rPr>
                <w:rFonts w:ascii="Century Gothic" w:eastAsia="Arial" w:hAnsi="Century Gothic" w:cs="Arial"/>
                <w:i/>
              </w:rPr>
              <w:t>as written</w:t>
            </w:r>
            <w:r w:rsidRPr="00D61E32">
              <w:rPr>
                <w:rFonts w:ascii="Century Gothic" w:eastAsia="Arial" w:hAnsi="Century Gothic" w:cs="Arial"/>
              </w:rPr>
              <w:t xml:space="preserve">, are </w:t>
            </w:r>
            <w:r w:rsidRPr="00D61E32">
              <w:rPr>
                <w:rFonts w:ascii="Century Gothic" w:eastAsia="Arial" w:hAnsi="Century Gothic" w:cs="Arial"/>
                <w:u w:val="single"/>
              </w:rPr>
              <w:t>the same</w:t>
            </w:r>
            <w:r w:rsidRPr="00D61E32">
              <w:rPr>
                <w:rFonts w:ascii="Century Gothic" w:eastAsia="Arial" w:hAnsi="Century Gothic" w:cs="Arial"/>
              </w:rPr>
              <w:t xml:space="preserve"> as the sources, evidentiary standards, and other factors used to apply CR to M/S benefits in the classification </w:t>
            </w:r>
            <w:r w:rsidRPr="00D61E32">
              <w:rPr>
                <w:rFonts w:ascii="Century Gothic" w:eastAsia="Arial" w:hAnsi="Century Gothic" w:cs="Arial"/>
                <w:i/>
              </w:rPr>
              <w:t>as written</w:t>
            </w:r>
            <w:r w:rsidRPr="00D61E32">
              <w:rPr>
                <w:rFonts w:ascii="Century Gothic" w:eastAsia="Arial" w:hAnsi="Century Gothic" w:cs="Arial"/>
              </w:rPr>
              <w:t>.</w:t>
            </w:r>
          </w:p>
          <w:p w14:paraId="1FFA4A89" w14:textId="6829BDD4" w:rsidR="001625EC" w:rsidRPr="00D61E32" w:rsidRDefault="001625EC">
            <w:pPr>
              <w:pStyle w:val="TableParagraph"/>
              <w:jc w:val="both"/>
              <w:rPr>
                <w:rFonts w:ascii="Century Gothic" w:hAnsi="Century Gothic" w:cs="Arial"/>
              </w:rPr>
            </w:pPr>
            <w:r w:rsidRPr="00D61E32">
              <w:rPr>
                <w:rFonts w:ascii="Century Gothic" w:hAnsi="Century Gothic" w:cs="Arial"/>
              </w:rPr>
              <w:t xml:space="preserve">Cigna applies the Concurrent Review NQTL consistently to M/S benefits and MH/SUD benefits. In both M/S and MH/SUD services, concurrent care reviews are typically initiated by a nurse reviewer for M/S benefits or Care Manager (licensed behavioral health clinician) for MH/SUD benefits telephonically a day or two before the last covered/authorized day. </w:t>
            </w:r>
          </w:p>
          <w:p w14:paraId="00165FCB" w14:textId="24646C1F" w:rsidR="001625EC" w:rsidRPr="00E70A33" w:rsidRDefault="001625EC">
            <w:pPr>
              <w:jc w:val="both"/>
              <w:rPr>
                <w:rFonts w:ascii="Century Gothic" w:eastAsia="Times New Roman" w:hAnsi="Century Gothic" w:cs="Arial"/>
                <w:color w:val="000000" w:themeColor="text1"/>
              </w:rPr>
            </w:pPr>
            <w:r w:rsidRPr="00D61E32">
              <w:rPr>
                <w:rFonts w:ascii="Century Gothic" w:eastAsia="Times New Roman" w:hAnsi="Century Gothic" w:cs="Arial"/>
                <w:color w:val="000000" w:themeColor="text1"/>
              </w:rPr>
              <w:t xml:space="preserve">Inpatient services reimbursed on the basis of a DRG/case rate and otherwise authorized pursuant to a prior authorization review are not subject to concurrent review because, for the duration of the period for which the DRG/case rate applies, the amount of benefits the plan is obligated to pay for a facility stay does not depend on the duration of time that the individual received care in the facility. </w:t>
            </w:r>
            <w:r w:rsidRPr="00D61E32">
              <w:rPr>
                <w:rFonts w:ascii="Century Gothic" w:hAnsi="Century Gothic" w:cs="Arial"/>
                <w:color w:val="000000" w:themeColor="text1"/>
              </w:rPr>
              <w:t xml:space="preserve">DRG-based reimbursement creates incentives for hospitals to actively manage </w:t>
            </w:r>
            <w:proofErr w:type="gramStart"/>
            <w:r w:rsidRPr="00D61E32">
              <w:rPr>
                <w:rFonts w:ascii="Century Gothic" w:hAnsi="Century Gothic" w:cs="Arial"/>
                <w:color w:val="000000" w:themeColor="text1"/>
              </w:rPr>
              <w:t>utilization</w:t>
            </w:r>
            <w:proofErr w:type="gramEnd"/>
            <w:r w:rsidRPr="00D61E32">
              <w:rPr>
                <w:rFonts w:ascii="Century Gothic" w:hAnsi="Century Gothic" w:cs="Arial"/>
                <w:color w:val="000000" w:themeColor="text1"/>
              </w:rPr>
              <w:t xml:space="preserve"> but DRG-based fees do not exist for psychiatric hospitalizations.</w:t>
            </w:r>
            <w:r w:rsidRPr="00D61E32">
              <w:rPr>
                <w:rFonts w:ascii="Century Gothic" w:eastAsia="Times New Roman" w:hAnsi="Century Gothic" w:cs="Arial"/>
                <w:color w:val="000000" w:themeColor="text1"/>
              </w:rPr>
              <w:t xml:space="preserve">  The lack of correlation between the length of stay and the plan’s obligation to pay benefits for the same means that assessing the ongoing medical necessity of a continued facility stay for coverage/benefit purposes is unnecessary for such </w:t>
            </w:r>
            <w:proofErr w:type="gramStart"/>
            <w:r w:rsidRPr="00D61E32">
              <w:rPr>
                <w:rFonts w:ascii="Century Gothic" w:eastAsia="Times New Roman" w:hAnsi="Century Gothic" w:cs="Arial"/>
                <w:color w:val="000000" w:themeColor="text1"/>
              </w:rPr>
              <w:t>period of time</w:t>
            </w:r>
            <w:proofErr w:type="gramEnd"/>
            <w:r w:rsidRPr="00D61E32">
              <w:rPr>
                <w:rFonts w:ascii="Century Gothic" w:eastAsia="Times New Roman" w:hAnsi="Century Gothic" w:cs="Arial"/>
                <w:color w:val="000000" w:themeColor="text1"/>
              </w:rPr>
              <w:t xml:space="preserve">. </w:t>
            </w:r>
          </w:p>
          <w:p w14:paraId="58468848" w14:textId="3B94AFA3" w:rsidR="001625EC" w:rsidRPr="00E70A33" w:rsidRDefault="001625EC" w:rsidP="00E70A33">
            <w:pPr>
              <w:pStyle w:val="Default"/>
              <w:jc w:val="both"/>
              <w:rPr>
                <w:rFonts w:ascii="Century Gothic" w:eastAsia="Times New Roman" w:hAnsi="Century Gothic" w:cs="Arial"/>
                <w:color w:val="000000" w:themeColor="text1"/>
                <w:sz w:val="22"/>
                <w:szCs w:val="22"/>
              </w:rPr>
            </w:pPr>
            <w:r w:rsidRPr="00D61E32">
              <w:rPr>
                <w:rFonts w:ascii="Century Gothic" w:eastAsia="Times New Roman" w:hAnsi="Century Gothic" w:cs="Arial"/>
                <w:color w:val="000000" w:themeColor="text1"/>
                <w:sz w:val="22"/>
                <w:szCs w:val="22"/>
              </w:rPr>
              <w:t xml:space="preserve">The case rate/DRG payment functions as payment in full for </w:t>
            </w:r>
            <w:proofErr w:type="gramStart"/>
            <w:r w:rsidRPr="00D61E32">
              <w:rPr>
                <w:rFonts w:ascii="Century Gothic" w:eastAsia="Times New Roman" w:hAnsi="Century Gothic" w:cs="Arial"/>
                <w:color w:val="000000" w:themeColor="text1"/>
                <w:sz w:val="22"/>
                <w:szCs w:val="22"/>
              </w:rPr>
              <w:t>any and all</w:t>
            </w:r>
            <w:proofErr w:type="gramEnd"/>
            <w:r w:rsidRPr="00D61E32">
              <w:rPr>
                <w:rFonts w:ascii="Century Gothic" w:eastAsia="Times New Roman" w:hAnsi="Century Gothic" w:cs="Arial"/>
                <w:color w:val="000000" w:themeColor="text1"/>
                <w:sz w:val="22"/>
                <w:szCs w:val="22"/>
              </w:rPr>
              <w:t xml:space="preserve"> services rendered to the individual for the pre-authorized course of treatment for the length of time covered by the case rate/DRG payment and over which the individual remains in the facility.  The plan’s liability for payment of benefits for services, and the individuals’ cost-sharing obligation, does not increase or decrease depending on how long the individual remains in the facility receiving the pre-authorized treatment in question, unless the individual’s stay extends beyond the </w:t>
            </w:r>
            <w:proofErr w:type="gramStart"/>
            <w:r w:rsidRPr="00D61E32">
              <w:rPr>
                <w:rFonts w:ascii="Century Gothic" w:eastAsia="Times New Roman" w:hAnsi="Century Gothic" w:cs="Arial"/>
                <w:color w:val="000000" w:themeColor="text1"/>
                <w:sz w:val="22"/>
                <w:szCs w:val="22"/>
              </w:rPr>
              <w:t>time period</w:t>
            </w:r>
            <w:proofErr w:type="gramEnd"/>
            <w:r w:rsidRPr="00D61E32">
              <w:rPr>
                <w:rFonts w:ascii="Century Gothic" w:eastAsia="Times New Roman" w:hAnsi="Century Gothic" w:cs="Arial"/>
                <w:color w:val="000000" w:themeColor="text1"/>
                <w:sz w:val="22"/>
                <w:szCs w:val="22"/>
              </w:rPr>
              <w:t xml:space="preserve"> that the DRG/case rate payment covers. </w:t>
            </w:r>
          </w:p>
          <w:p w14:paraId="526D1D26" w14:textId="5222D9E7" w:rsidR="001625EC" w:rsidRPr="00E70A33" w:rsidRDefault="001625EC" w:rsidP="00E70A33">
            <w:pPr>
              <w:pStyle w:val="Default"/>
              <w:jc w:val="both"/>
              <w:rPr>
                <w:rFonts w:ascii="Century Gothic" w:hAnsi="Century Gothic" w:cs="Arial"/>
                <w:color w:val="000000" w:themeColor="text1"/>
                <w:sz w:val="22"/>
                <w:szCs w:val="22"/>
              </w:rPr>
            </w:pPr>
            <w:r w:rsidRPr="00D61E32">
              <w:rPr>
                <w:rFonts w:ascii="Century Gothic" w:hAnsi="Century Gothic" w:cs="Arial"/>
                <w:color w:val="000000" w:themeColor="text1"/>
                <w:sz w:val="22"/>
                <w:szCs w:val="22"/>
              </w:rPr>
              <w:t xml:space="preserve">DRG-based reimbursement creates incentives for hospitals to actively manage </w:t>
            </w:r>
            <w:proofErr w:type="gramStart"/>
            <w:r w:rsidRPr="00D61E32">
              <w:rPr>
                <w:rFonts w:ascii="Century Gothic" w:hAnsi="Century Gothic" w:cs="Arial"/>
                <w:color w:val="000000" w:themeColor="text1"/>
                <w:sz w:val="22"/>
                <w:szCs w:val="22"/>
              </w:rPr>
              <w:t>utilization</w:t>
            </w:r>
            <w:proofErr w:type="gramEnd"/>
            <w:r w:rsidRPr="00D61E32">
              <w:rPr>
                <w:rFonts w:ascii="Century Gothic" w:hAnsi="Century Gothic" w:cs="Arial"/>
                <w:color w:val="000000" w:themeColor="text1"/>
                <w:sz w:val="22"/>
                <w:szCs w:val="22"/>
              </w:rPr>
              <w:t xml:space="preserve"> but DRG-based fees do not exist for psychiatric hospitalizations. </w:t>
            </w:r>
            <w:r w:rsidRPr="00D61E32">
              <w:rPr>
                <w:rFonts w:ascii="Century Gothic" w:hAnsi="Century Gothic" w:cs="Arial"/>
                <w:iCs/>
                <w:color w:val="000000" w:themeColor="text1"/>
                <w:sz w:val="22"/>
                <w:szCs w:val="22"/>
              </w:rPr>
              <w:t xml:space="preserve"> Concurrent Review by Cigna is clinically appropriate and permissible for psychiatric hospitalizations as general medical hospitalizations that are not reimbursed based on DRGs are also subject to concurrent review</w:t>
            </w:r>
            <w:r w:rsidRPr="00D61E32">
              <w:rPr>
                <w:rFonts w:ascii="Century Gothic" w:hAnsi="Century Gothic" w:cs="Arial"/>
                <w:color w:val="000000" w:themeColor="text1"/>
                <w:sz w:val="22"/>
                <w:szCs w:val="22"/>
              </w:rPr>
              <w:t xml:space="preserve">.   Differences in utilization management of inpatient behavioral health </w:t>
            </w:r>
            <w:proofErr w:type="gramStart"/>
            <w:r w:rsidRPr="00D61E32">
              <w:rPr>
                <w:rFonts w:ascii="Century Gothic" w:hAnsi="Century Gothic" w:cs="Arial"/>
                <w:color w:val="000000" w:themeColor="text1"/>
                <w:sz w:val="22"/>
                <w:szCs w:val="22"/>
              </w:rPr>
              <w:t>is</w:t>
            </w:r>
            <w:proofErr w:type="gramEnd"/>
            <w:r w:rsidRPr="00D61E32">
              <w:rPr>
                <w:rFonts w:ascii="Century Gothic" w:hAnsi="Century Gothic" w:cs="Arial"/>
                <w:color w:val="000000" w:themeColor="text1"/>
                <w:sz w:val="22"/>
                <w:szCs w:val="22"/>
              </w:rPr>
              <w:t xml:space="preserve"> not a more stringent application because DRG-based fees have not been established for psychiatric hospitalizations.</w:t>
            </w:r>
          </w:p>
          <w:p w14:paraId="3F041372" w14:textId="77777777" w:rsidR="001625EC" w:rsidRPr="00D61E32" w:rsidRDefault="001625EC">
            <w:pPr>
              <w:rPr>
                <w:rFonts w:ascii="Century Gothic" w:hAnsi="Century Gothic" w:cs="Arial"/>
              </w:rPr>
            </w:pPr>
            <w:r w:rsidRPr="00D61E32">
              <w:rPr>
                <w:rFonts w:ascii="Century Gothic" w:eastAsia="Arial" w:hAnsi="Century Gothic" w:cs="Arial"/>
                <w:b/>
              </w:rPr>
              <w:t xml:space="preserve">In Operation: </w:t>
            </w:r>
            <w:r w:rsidRPr="00D61E32">
              <w:rPr>
                <w:rFonts w:ascii="Century Gothic" w:eastAsia="Arial" w:hAnsi="Century Gothic" w:cs="Arial"/>
              </w:rPr>
              <w:t xml:space="preserve">As shown in Step 4(b) above, for the inpatient in-network and out-of-network classifications, </w:t>
            </w:r>
            <w:r w:rsidRPr="00D61E32">
              <w:rPr>
                <w:rFonts w:ascii="Century Gothic" w:hAnsi="Century Gothic" w:cs="Arial"/>
              </w:rPr>
              <w:t xml:space="preserve">the concurrent denial rate data above shows that 0% and 2% of MH/SUD concurrent reviews respectively were denied in inpatient in-network and out-of-network classifications. This is less stringent compared to the 20% of Med/Surg inpatient in-network prior authorizations denied, </w:t>
            </w:r>
            <w:proofErr w:type="gramStart"/>
            <w:r w:rsidRPr="00D61E32">
              <w:rPr>
                <w:rFonts w:ascii="Century Gothic" w:hAnsi="Century Gothic" w:cs="Arial"/>
              </w:rPr>
              <w:t>and also</w:t>
            </w:r>
            <w:proofErr w:type="gramEnd"/>
            <w:r w:rsidRPr="00D61E32">
              <w:rPr>
                <w:rFonts w:ascii="Century Gothic" w:hAnsi="Century Gothic" w:cs="Arial"/>
              </w:rPr>
              <w:t xml:space="preserve"> to the 33% of Med/Surg inpatient out-of-network prior authorizations denied. Therefore, the percentage of denials for MH/SUD services is comparable to, and not more stringent than, the percentage of denials for Med/Surg prior authorization requests. In fact, the denial rate for MH/SUD prior authorization services is far lower than the denial rate for Med/Surg prior authorization denial rates, showing MH/SUD services are treated more favorably. </w:t>
            </w:r>
          </w:p>
          <w:p w14:paraId="0EFAF52D" w14:textId="1E0E5D05" w:rsidR="001625EC" w:rsidRPr="00D61E32" w:rsidRDefault="001625EC">
            <w:pPr>
              <w:ind w:right="216"/>
              <w:jc w:val="both"/>
              <w:textAlignment w:val="baseline"/>
              <w:rPr>
                <w:rFonts w:ascii="Century Gothic" w:hAnsi="Century Gothic" w:cs="Arial"/>
                <w:strike/>
                <w:color w:val="000000" w:themeColor="text1"/>
              </w:rPr>
            </w:pPr>
            <w:r w:rsidRPr="00D61E32">
              <w:rPr>
                <w:rFonts w:ascii="Century Gothic" w:hAnsi="Century Gothic" w:cs="Arial"/>
                <w:color w:val="000000" w:themeColor="text1"/>
              </w:rPr>
              <w:t xml:space="preserve">A review of concurrent review appeals data revealed no appeals for either </w:t>
            </w:r>
            <w:proofErr w:type="spellStart"/>
            <w:r w:rsidRPr="00D61E32">
              <w:rPr>
                <w:rFonts w:ascii="Century Gothic" w:hAnsi="Century Gothic" w:cs="Arial"/>
                <w:color w:val="000000" w:themeColor="text1"/>
              </w:rPr>
              <w:t>medsurg</w:t>
            </w:r>
            <w:proofErr w:type="spellEnd"/>
            <w:r w:rsidRPr="00D61E32">
              <w:rPr>
                <w:rFonts w:ascii="Century Gothic" w:hAnsi="Century Gothic" w:cs="Arial"/>
                <w:color w:val="000000" w:themeColor="text1"/>
              </w:rPr>
              <w:t xml:space="preserve"> </w:t>
            </w:r>
            <w:proofErr w:type="gramStart"/>
            <w:r w:rsidRPr="00D61E32">
              <w:rPr>
                <w:rFonts w:ascii="Century Gothic" w:hAnsi="Century Gothic" w:cs="Arial"/>
                <w:color w:val="000000" w:themeColor="text1"/>
              </w:rPr>
              <w:t>nor</w:t>
            </w:r>
            <w:proofErr w:type="gramEnd"/>
            <w:r w:rsidRPr="00D61E32">
              <w:rPr>
                <w:rFonts w:ascii="Century Gothic" w:hAnsi="Century Gothic" w:cs="Arial"/>
                <w:color w:val="000000" w:themeColor="text1"/>
              </w:rPr>
              <w:t xml:space="preserve"> MHSUD. </w:t>
            </w:r>
          </w:p>
          <w:p w14:paraId="2C0A1681" w14:textId="28134416" w:rsidR="001625EC" w:rsidRPr="00D61E32" w:rsidRDefault="001625EC">
            <w:pPr>
              <w:ind w:right="216"/>
              <w:jc w:val="both"/>
              <w:textAlignment w:val="baseline"/>
              <w:rPr>
                <w:rFonts w:ascii="Century Gothic" w:hAnsi="Century Gothic" w:cs="Arial"/>
                <w:color w:val="000000" w:themeColor="text1"/>
              </w:rPr>
            </w:pPr>
            <w:r w:rsidRPr="00D61E32">
              <w:rPr>
                <w:rFonts w:ascii="Century Gothic" w:hAnsi="Century Gothic" w:cs="Arial"/>
              </w:rPr>
              <w:t>Cigna's methodology for determining which M/S services and which MH/SUD services within a classification of benefits are subject to concurrent care review as written and in operation, as well as its concurrent care medical necessity review processes applied to M/S services and for MH/SUD services as written and in operation reflect they are comparable and no more stringent for MH/SUD services within a classification of benefits than for M/S services within the same classification of benefits.</w:t>
            </w:r>
          </w:p>
          <w:p w14:paraId="1A0E0F42" w14:textId="77777777" w:rsidR="001625EC" w:rsidRPr="00D61E32" w:rsidRDefault="001625EC">
            <w:pPr>
              <w:ind w:right="216"/>
              <w:jc w:val="both"/>
              <w:textAlignment w:val="baseline"/>
              <w:rPr>
                <w:rFonts w:ascii="Century Gothic" w:eastAsia="Arial" w:hAnsi="Century Gothic" w:cs="Arial"/>
              </w:rPr>
            </w:pPr>
            <w:r w:rsidRPr="00D61E32">
              <w:rPr>
                <w:rFonts w:ascii="Century Gothic" w:eastAsia="Arial" w:hAnsi="Century Gothic" w:cs="Arial"/>
                <w:b/>
                <w:bCs/>
              </w:rPr>
              <w:t>Conclusion</w:t>
            </w:r>
            <w:r w:rsidRPr="00D61E32">
              <w:rPr>
                <w:rFonts w:ascii="Century Gothic" w:eastAsia="Arial" w:hAnsi="Century Gothic" w:cs="Arial"/>
              </w:rPr>
              <w:t>: Wellfleet has determined that concurrent review is applied for MH/SUD benefits in a manner that is comparable to and no more stringent than that of M/S services, both as written and in operation, based on the information presented above that describes in detail the evidentiary standards, processes, strategies, and factors used to impose concurrent review.</w:t>
            </w:r>
          </w:p>
        </w:tc>
      </w:tr>
    </w:tbl>
    <w:p w14:paraId="76E79470" w14:textId="77777777" w:rsidR="001625EC" w:rsidRPr="00D61E32" w:rsidRDefault="001625EC" w:rsidP="001625EC">
      <w:pPr>
        <w:ind w:left="360"/>
        <w:rPr>
          <w:rFonts w:ascii="Century Gothic" w:hAnsi="Century Gothic" w:cs="Times New Roman"/>
          <w:b/>
          <w:u w:val="single"/>
        </w:rPr>
      </w:pPr>
    </w:p>
    <w:p w14:paraId="33C53C5A" w14:textId="77777777" w:rsidR="00D36D15" w:rsidRPr="00D61E32" w:rsidRDefault="00D36D15" w:rsidP="00D36D15">
      <w:pPr>
        <w:pStyle w:val="ListParagraph"/>
        <w:numPr>
          <w:ilvl w:val="0"/>
          <w:numId w:val="3"/>
        </w:numPr>
        <w:rPr>
          <w:rFonts w:ascii="Century Gothic" w:hAnsi="Century Gothic" w:cs="Times New Roman"/>
          <w:b/>
          <w:u w:val="single"/>
        </w:rPr>
      </w:pPr>
      <w:r w:rsidRPr="00D61E32">
        <w:rPr>
          <w:rFonts w:ascii="Century Gothic" w:hAnsi="Century Gothic" w:cs="Times New Roman"/>
          <w:b/>
          <w:u w:val="single"/>
        </w:rPr>
        <w:t>Retrospective Review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520"/>
      </w:tblGrid>
      <w:tr w:rsidR="00EB78C2" w:rsidRPr="00D61E32" w14:paraId="7AEEAB77" w14:textId="77777777" w:rsidTr="00E70A33">
        <w:trPr>
          <w:trHeight w:val="530"/>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043193" w14:textId="77777777" w:rsidR="00EB78C2" w:rsidRPr="00D61E32" w:rsidRDefault="00EB78C2">
            <w:pPr>
              <w:rPr>
                <w:rFonts w:ascii="Century Gothic" w:eastAsia="Times New Roman" w:hAnsi="Century Gothic" w:cs="Arial"/>
                <w:b/>
                <w:bCs/>
              </w:rPr>
            </w:pPr>
            <w:r w:rsidRPr="00D61E32">
              <w:rPr>
                <w:rFonts w:ascii="Century Gothic" w:eastAsia="Times New Roman" w:hAnsi="Century Gothic" w:cs="Arial"/>
                <w:b/>
                <w:bCs/>
              </w:rPr>
              <w:t>NQTL: Retrospective Review</w:t>
            </w:r>
          </w:p>
        </w:tc>
      </w:tr>
      <w:tr w:rsidR="00EB78C2" w:rsidRPr="00D61E32" w14:paraId="57F3D3AC" w14:textId="77777777" w:rsidTr="0026724E">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4F6FB" w14:textId="77777777" w:rsidR="00EB78C2" w:rsidRPr="00D61E32" w:rsidRDefault="00EB78C2">
            <w:pPr>
              <w:pStyle w:val="Default"/>
              <w:spacing w:line="256" w:lineRule="auto"/>
              <w:rPr>
                <w:rFonts w:ascii="Century Gothic" w:hAnsi="Century Gothic" w:cs="Arial"/>
                <w:sz w:val="22"/>
                <w:szCs w:val="22"/>
              </w:rPr>
            </w:pPr>
            <w:r w:rsidRPr="00D61E32">
              <w:rPr>
                <w:rFonts w:ascii="Century Gothic" w:eastAsia="Times New Roman" w:hAnsi="Century Gothic"/>
                <w:b/>
                <w:bCs/>
                <w:sz w:val="22"/>
                <w:szCs w:val="22"/>
              </w:rPr>
              <w:t xml:space="preserve">Classification(s):  </w:t>
            </w:r>
            <w:r w:rsidRPr="00D61E32">
              <w:rPr>
                <w:rFonts w:ascii="Century Gothic" w:hAnsi="Century Gothic"/>
                <w:sz w:val="22"/>
                <w:szCs w:val="22"/>
              </w:rPr>
              <w:t xml:space="preserve">Inpatient, In-Network; Outpatient, In-Network (including applicable sub-classifications); Inpatient, Out-of-Network; and Outpatient, Out-of-Network (including applicable sub-classifications). </w:t>
            </w:r>
          </w:p>
        </w:tc>
      </w:tr>
      <w:tr w:rsidR="00EB78C2" w:rsidRPr="00D61E32" w14:paraId="3512CA8E" w14:textId="77777777" w:rsidTr="0026724E">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C5B2E" w14:textId="77777777" w:rsidR="00EB78C2" w:rsidRPr="00D61E32" w:rsidRDefault="00EB78C2">
            <w:pPr>
              <w:rPr>
                <w:rFonts w:ascii="Century Gothic" w:eastAsia="Times New Roman" w:hAnsi="Century Gothic" w:cs="Arial"/>
                <w:b/>
                <w:bCs/>
              </w:rPr>
            </w:pPr>
            <w:r w:rsidRPr="00D61E32">
              <w:rPr>
                <w:rFonts w:ascii="Century Gothic" w:eastAsia="Times New Roman" w:hAnsi="Century Gothic" w:cs="Arial"/>
                <w:b/>
                <w:bCs/>
              </w:rPr>
              <w:t>Step 1 – Identify the specific plan or coverage terms or other relevant terms regarding Retrospective Review and a description of all mental health or substance use disorder and medical or surgical benefits to which each such term applies in each respective benefits classification</w:t>
            </w:r>
          </w:p>
        </w:tc>
      </w:tr>
      <w:tr w:rsidR="00EB78C2" w:rsidRPr="00D61E32" w14:paraId="5EF72906" w14:textId="77777777" w:rsidTr="0026724E">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458B7DF4" w14:textId="23E4CD4E" w:rsidR="00EB78C2" w:rsidRPr="00D61E32" w:rsidRDefault="00EB78C2">
            <w:pPr>
              <w:rPr>
                <w:rFonts w:ascii="Century Gothic" w:eastAsia="Times New Roman" w:hAnsi="Century Gothic" w:cs="Arial"/>
                <w:bCs/>
              </w:rPr>
            </w:pPr>
            <w:r w:rsidRPr="00D61E32">
              <w:rPr>
                <w:rFonts w:ascii="Century Gothic" w:eastAsia="Times New Roman" w:hAnsi="Century Gothic" w:cs="Arial"/>
                <w:b/>
                <w:bCs/>
                <w:i/>
              </w:rPr>
              <w:t>Step 1(a): Provide a clear description of the specific NQTL, plan terms, and policies at issue</w:t>
            </w:r>
            <w:r w:rsidRPr="00D61E32">
              <w:rPr>
                <w:rFonts w:ascii="Century Gothic" w:eastAsia="Times New Roman" w:hAnsi="Century Gothic" w:cs="Arial"/>
                <w:bCs/>
              </w:rPr>
              <w:t>:</w:t>
            </w:r>
            <w:r w:rsidRPr="00D61E32">
              <w:rPr>
                <w:rStyle w:val="FootnoteReference"/>
                <w:rFonts w:ascii="Century Gothic" w:eastAsia="Times New Roman" w:hAnsi="Century Gothic" w:cs="Arial"/>
                <w:bCs/>
              </w:rPr>
              <w:footnoteReference w:id="34"/>
            </w:r>
          </w:p>
          <w:p w14:paraId="2C60330E" w14:textId="1BA4FCF5" w:rsidR="00EB78C2" w:rsidRPr="00D61E32" w:rsidRDefault="00EB78C2">
            <w:pPr>
              <w:rPr>
                <w:rFonts w:ascii="Century Gothic" w:eastAsia="Times New Roman" w:hAnsi="Century Gothic" w:cs="Arial"/>
                <w:bCs/>
              </w:rPr>
            </w:pPr>
            <w:r w:rsidRPr="00D61E32">
              <w:rPr>
                <w:rFonts w:ascii="Century Gothic" w:eastAsia="Times New Roman" w:hAnsi="Century Gothic" w:cs="Arial"/>
                <w:bCs/>
                <w:i/>
              </w:rPr>
              <w:t>Define Retrospective Review</w:t>
            </w:r>
            <w:r w:rsidRPr="00D61E32">
              <w:rPr>
                <w:rFonts w:ascii="Century Gothic" w:eastAsia="Times New Roman" w:hAnsi="Century Gothic" w:cs="Arial"/>
                <w:bCs/>
              </w:rPr>
              <w:t xml:space="preserve">: </w:t>
            </w:r>
          </w:p>
          <w:p w14:paraId="01935849" w14:textId="77777777" w:rsidR="00EB78C2" w:rsidRPr="00D61E32" w:rsidRDefault="00EB78C2">
            <w:pPr>
              <w:jc w:val="both"/>
              <w:rPr>
                <w:rFonts w:ascii="Century Gothic" w:hAnsi="Century Gothic" w:cs="Arial"/>
              </w:rPr>
            </w:pPr>
            <w:r w:rsidRPr="00D61E32">
              <w:rPr>
                <w:rFonts w:ascii="Century Gothic" w:hAnsi="Century Gothic" w:cs="Arial"/>
              </w:rPr>
              <w:t>Retrospective Review, as a form of utilization management, is considered a non-quantitative treatment limitation (“NQTL”) under the Mental Health Parity and Addiction Equity Act of 2008 (“MHPAEA”) and its implementing regulations and sub-regulatory guidance.</w:t>
            </w:r>
          </w:p>
          <w:p w14:paraId="22F6880D" w14:textId="238911C1" w:rsidR="00EB78C2" w:rsidRPr="00D61E32" w:rsidRDefault="00EB78C2">
            <w:pPr>
              <w:jc w:val="both"/>
              <w:rPr>
                <w:rFonts w:ascii="Century Gothic" w:eastAsia="Times New Roman" w:hAnsi="Century Gothic" w:cs="Arial"/>
              </w:rPr>
            </w:pPr>
            <w:r w:rsidRPr="00D61E32">
              <w:rPr>
                <w:rFonts w:ascii="Century Gothic" w:eastAsia="Times New Roman" w:hAnsi="Century Gothic" w:cs="Arial"/>
              </w:rPr>
              <w:t xml:space="preserve">Wellfleet delegates its non-Pharmacy Utilization Management to Cigna. Cigna is responsible for determining which non-Pharmacy benefits are eligible for retrospective review. As such, Cigna’s utilization management policies are used to determine retrospective review factors, sources, and evidentiary standards. Once the benefits subject to retrospective review are determined, Cigna and Wellfleet perform utilization management on Wellfleet’s behalf. Their policies are used to determine operational aspects of retrospective review. </w:t>
            </w:r>
          </w:p>
          <w:p w14:paraId="0D88B3A9" w14:textId="5C7AEF48" w:rsidR="00EB78C2" w:rsidRPr="00D61E32" w:rsidRDefault="00EB78C2">
            <w:pPr>
              <w:rPr>
                <w:rFonts w:ascii="Century Gothic" w:eastAsia="Times New Roman" w:hAnsi="Century Gothic" w:cs="Arial"/>
              </w:rPr>
            </w:pPr>
            <w:r w:rsidRPr="00D61E32">
              <w:rPr>
                <w:rFonts w:ascii="Century Gothic" w:eastAsia="Times New Roman" w:hAnsi="Century Gothic" w:cs="Arial"/>
              </w:rPr>
              <w:t>Cigna defines Retrospective Review as its review of a claim after a service has already been provided, but before the claim for that service has been paid. Specifically, these are reviews of coverage authorizations that were not approved prior to the service being rendered. Cigna does not incorporate language related to Retrospective Review in its certificate or benefits booklet.</w:t>
            </w:r>
          </w:p>
          <w:p w14:paraId="3547223B" w14:textId="733A72A6" w:rsidR="00EB78C2" w:rsidRPr="00D61E32" w:rsidRDefault="00EB78C2">
            <w:pPr>
              <w:rPr>
                <w:rFonts w:ascii="Century Gothic" w:eastAsia="Times New Roman" w:hAnsi="Century Gothic" w:cs="Arial"/>
              </w:rPr>
            </w:pPr>
            <w:r w:rsidRPr="00D61E32">
              <w:rPr>
                <w:rFonts w:ascii="Century Gothic" w:eastAsia="Times New Roman" w:hAnsi="Century Gothic" w:cs="Arial"/>
              </w:rPr>
              <w:t>All non-emergent M/S and MH/SUD inpatient and outpatient services are theoretically subject to a medical necessity review. Cigna also employs the same definition of medical necessity to medical/surgical (M/S) and mental health/substance use disorder (MH/SUD) benefits.</w:t>
            </w:r>
          </w:p>
          <w:p w14:paraId="5DCB5549" w14:textId="244D2DD0" w:rsidR="00EB78C2" w:rsidRPr="00D61E32" w:rsidRDefault="00EB78C2">
            <w:pPr>
              <w:rPr>
                <w:rFonts w:ascii="Century Gothic" w:eastAsia="Times New Roman" w:hAnsi="Century Gothic" w:cs="Arial"/>
              </w:rPr>
            </w:pPr>
            <w:r w:rsidRPr="00D61E32">
              <w:rPr>
                <w:rFonts w:ascii="Century Gothic" w:eastAsia="Times New Roman" w:hAnsi="Century Gothic" w:cs="Arial"/>
              </w:rPr>
              <w:t>Cigna Medical Directors apply the definition of “medical necessity” set forth in the governing plan instrument or the definition required by state law. In general, Cigna uses the following definition:</w:t>
            </w:r>
          </w:p>
          <w:p w14:paraId="2B383688" w14:textId="3FE3406E"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Medically Necessary/ Medical Necessity Health care services, supplies and medications provided for the purpose of preventing, evaluating, </w:t>
            </w:r>
            <w:proofErr w:type="gramStart"/>
            <w:r w:rsidRPr="00D61E32">
              <w:rPr>
                <w:rFonts w:ascii="Century Gothic" w:eastAsia="Times New Roman" w:hAnsi="Century Gothic" w:cs="Arial"/>
              </w:rPr>
              <w:t>diagnosing</w:t>
            </w:r>
            <w:proofErr w:type="gramEnd"/>
            <w:r w:rsidRPr="00D61E32">
              <w:rPr>
                <w:rFonts w:ascii="Century Gothic" w:eastAsia="Times New Roman" w:hAnsi="Century Gothic" w:cs="Arial"/>
              </w:rPr>
              <w:t xml:space="preserve"> or treating a Sickness, Injury, condition, disease or its symptoms, that are all of the following as determined by a Medical Director or Review Organization:</w:t>
            </w:r>
          </w:p>
          <w:p w14:paraId="2690C40B"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 required to diagnose or treat an illness, Injury, disease or its </w:t>
            </w:r>
            <w:proofErr w:type="gramStart"/>
            <w:r w:rsidRPr="00D61E32">
              <w:rPr>
                <w:rFonts w:ascii="Century Gothic" w:eastAsia="Times New Roman" w:hAnsi="Century Gothic" w:cs="Arial"/>
              </w:rPr>
              <w:t>symptoms;</w:t>
            </w:r>
            <w:proofErr w:type="gramEnd"/>
          </w:p>
          <w:p w14:paraId="1ABD9C29"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 in accordance with generally accepted standards of medical </w:t>
            </w:r>
            <w:proofErr w:type="gramStart"/>
            <w:r w:rsidRPr="00D61E32">
              <w:rPr>
                <w:rFonts w:ascii="Century Gothic" w:eastAsia="Times New Roman" w:hAnsi="Century Gothic" w:cs="Arial"/>
              </w:rPr>
              <w:t>practice;</w:t>
            </w:r>
            <w:proofErr w:type="gramEnd"/>
          </w:p>
          <w:p w14:paraId="771C9347"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 clinically appropriate in terms of type, frequency, extent, site and </w:t>
            </w:r>
            <w:proofErr w:type="gramStart"/>
            <w:r w:rsidRPr="00D61E32">
              <w:rPr>
                <w:rFonts w:ascii="Century Gothic" w:eastAsia="Times New Roman" w:hAnsi="Century Gothic" w:cs="Arial"/>
              </w:rPr>
              <w:t>duration;</w:t>
            </w:r>
            <w:proofErr w:type="gramEnd"/>
          </w:p>
          <w:p w14:paraId="1E4B0873"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 not primarily for the convenience of the patient, Physician or other health care </w:t>
            </w:r>
            <w:proofErr w:type="gramStart"/>
            <w:r w:rsidRPr="00D61E32">
              <w:rPr>
                <w:rFonts w:ascii="Century Gothic" w:eastAsia="Times New Roman" w:hAnsi="Century Gothic" w:cs="Arial"/>
              </w:rPr>
              <w:t>provider;</w:t>
            </w:r>
            <w:proofErr w:type="gramEnd"/>
            <w:r w:rsidRPr="00D61E32">
              <w:rPr>
                <w:rFonts w:ascii="Century Gothic" w:eastAsia="Times New Roman" w:hAnsi="Century Gothic" w:cs="Arial"/>
              </w:rPr>
              <w:t xml:space="preserve"> </w:t>
            </w:r>
          </w:p>
          <w:p w14:paraId="3F8FEEC8"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 not more costly than an alternative service(s), medication(s) or supply(</w:t>
            </w:r>
            <w:proofErr w:type="spellStart"/>
            <w:r w:rsidRPr="00D61E32">
              <w:rPr>
                <w:rFonts w:ascii="Century Gothic" w:eastAsia="Times New Roman" w:hAnsi="Century Gothic" w:cs="Arial"/>
              </w:rPr>
              <w:t>ies</w:t>
            </w:r>
            <w:proofErr w:type="spellEnd"/>
            <w:r w:rsidRPr="00D61E32">
              <w:rPr>
                <w:rFonts w:ascii="Century Gothic" w:eastAsia="Times New Roman" w:hAnsi="Century Gothic" w:cs="Arial"/>
              </w:rPr>
              <w:t xml:space="preserve">) that is at least as likely to produce equivalent therapeutic or diagnostic results with the same safety profile as to the prevention, evaluation, diagnosis or treatment of your Sickness, Injury, condition, </w:t>
            </w:r>
            <w:proofErr w:type="gramStart"/>
            <w:r w:rsidRPr="00D61E32">
              <w:rPr>
                <w:rFonts w:ascii="Century Gothic" w:eastAsia="Times New Roman" w:hAnsi="Century Gothic" w:cs="Arial"/>
              </w:rPr>
              <w:t>disease</w:t>
            </w:r>
            <w:proofErr w:type="gramEnd"/>
            <w:r w:rsidRPr="00D61E32">
              <w:rPr>
                <w:rFonts w:ascii="Century Gothic" w:eastAsia="Times New Roman" w:hAnsi="Century Gothic" w:cs="Arial"/>
              </w:rPr>
              <w:t xml:space="preserve"> or its symptoms; and</w:t>
            </w:r>
          </w:p>
          <w:p w14:paraId="108C6D95" w14:textId="0C2B9AD3"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 rendered in the least intensive setting that is appropriate for the delivery of the services, </w:t>
            </w:r>
            <w:proofErr w:type="gramStart"/>
            <w:r w:rsidRPr="00D61E32">
              <w:rPr>
                <w:rFonts w:ascii="Century Gothic" w:eastAsia="Times New Roman" w:hAnsi="Century Gothic" w:cs="Arial"/>
              </w:rPr>
              <w:t>supplies</w:t>
            </w:r>
            <w:proofErr w:type="gramEnd"/>
            <w:r w:rsidRPr="00D61E32">
              <w:rPr>
                <w:rFonts w:ascii="Century Gothic" w:eastAsia="Times New Roman" w:hAnsi="Century Gothic" w:cs="Arial"/>
              </w:rPr>
              <w:t xml:space="preserve"> or medications.  </w:t>
            </w:r>
          </w:p>
          <w:p w14:paraId="26465BA1" w14:textId="7FDF427A"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Where applicable, the Medical Director or Review Organization may compare the cost-effectiveness of alternative services, supplies, </w:t>
            </w:r>
            <w:proofErr w:type="gramStart"/>
            <w:r w:rsidRPr="00D61E32">
              <w:rPr>
                <w:rFonts w:ascii="Century Gothic" w:eastAsia="Times New Roman" w:hAnsi="Century Gothic" w:cs="Arial"/>
              </w:rPr>
              <w:t>medications</w:t>
            </w:r>
            <w:proofErr w:type="gramEnd"/>
            <w:r w:rsidRPr="00D61E32">
              <w:rPr>
                <w:rFonts w:ascii="Century Gothic" w:eastAsia="Times New Roman" w:hAnsi="Century Gothic" w:cs="Arial"/>
              </w:rPr>
              <w:t xml:space="preserve"> or settings when determining </w:t>
            </w:r>
            <w:proofErr w:type="gramStart"/>
            <w:r w:rsidRPr="00D61E32">
              <w:rPr>
                <w:rFonts w:ascii="Century Gothic" w:eastAsia="Times New Roman" w:hAnsi="Century Gothic" w:cs="Arial"/>
              </w:rPr>
              <w:t>least</w:t>
            </w:r>
            <w:proofErr w:type="gramEnd"/>
            <w:r w:rsidRPr="00D61E32">
              <w:rPr>
                <w:rFonts w:ascii="Century Gothic" w:eastAsia="Times New Roman" w:hAnsi="Century Gothic" w:cs="Arial"/>
              </w:rPr>
              <w:t xml:space="preserve"> intensive setting. In determining whether health care services, supplies, or medications are Medically Necessary, all elements of Medical Necessity must be met as specifically outlined in the individual’s benefit plan documents, the Medical Director or Review Organization may rely on the clinical coverage policies maintained by Cigna or the Review Organization.  </w:t>
            </w:r>
          </w:p>
          <w:p w14:paraId="7D2A687B" w14:textId="10FF4E31" w:rsidR="00EB78C2" w:rsidRPr="00D61E32" w:rsidRDefault="00EB78C2">
            <w:pPr>
              <w:rPr>
                <w:rFonts w:ascii="Century Gothic" w:eastAsia="Times New Roman" w:hAnsi="Century Gothic" w:cs="Arial"/>
              </w:rPr>
            </w:pPr>
            <w:r w:rsidRPr="00D61E32">
              <w:rPr>
                <w:rFonts w:ascii="Century Gothic" w:eastAsia="Times New Roman" w:hAnsi="Century Gothic" w:cs="Arial"/>
              </w:rPr>
              <w:t>Clinical coverage policies may incorporate, without limitation and as applicable, criteria relating to U.S. Food and Drug Administration-approved labeling, the standard medical reference compendia and peer-reviewed, evidence-based scientific literature or guidelines.</w:t>
            </w:r>
          </w:p>
        </w:tc>
      </w:tr>
      <w:tr w:rsidR="00EB78C2" w:rsidRPr="00D61E32" w14:paraId="32530DBA" w14:textId="77777777" w:rsidTr="0026724E">
        <w:trPr>
          <w:trHeight w:val="1385"/>
        </w:trPr>
        <w:tc>
          <w:tcPr>
            <w:tcW w:w="2500" w:type="pct"/>
            <w:tcBorders>
              <w:top w:val="single" w:sz="4" w:space="0" w:color="auto"/>
              <w:left w:val="single" w:sz="4" w:space="0" w:color="auto"/>
              <w:bottom w:val="single" w:sz="4" w:space="0" w:color="auto"/>
              <w:right w:val="single" w:sz="4" w:space="0" w:color="auto"/>
            </w:tcBorders>
          </w:tcPr>
          <w:p w14:paraId="1AF47613" w14:textId="2D6773C9" w:rsidR="00EB78C2" w:rsidRPr="00D61E32" w:rsidRDefault="00EB78C2">
            <w:pPr>
              <w:rPr>
                <w:rFonts w:ascii="Century Gothic" w:hAnsi="Century Gothic" w:cs="Arial"/>
                <w:b/>
                <w:i/>
              </w:rPr>
            </w:pPr>
            <w:r w:rsidRPr="00D61E32">
              <w:rPr>
                <w:rFonts w:ascii="Century Gothic" w:hAnsi="Century Gothic" w:cs="Arial"/>
                <w:b/>
                <w:i/>
              </w:rPr>
              <w:t>Step 1(b): Identify the M/S benefits/services for which Retrospective Review is required:</w:t>
            </w:r>
            <w:r w:rsidRPr="00D61E32">
              <w:rPr>
                <w:rStyle w:val="FootnoteReference"/>
                <w:rFonts w:ascii="Century Gothic" w:hAnsi="Century Gothic" w:cs="Arial"/>
                <w:b/>
                <w:i/>
              </w:rPr>
              <w:footnoteReference w:id="35"/>
            </w:r>
          </w:p>
          <w:p w14:paraId="012DCE35" w14:textId="71AF1B9B" w:rsidR="00EB78C2" w:rsidRPr="00FD0F3F" w:rsidRDefault="00EB78C2">
            <w:pPr>
              <w:rPr>
                <w:rFonts w:ascii="Century Gothic" w:hAnsi="Century Gothic" w:cs="Arial"/>
              </w:rPr>
            </w:pPr>
            <w:r w:rsidRPr="00D61E32">
              <w:rPr>
                <w:rFonts w:ascii="Century Gothic" w:hAnsi="Century Gothic" w:cs="Arial"/>
              </w:rPr>
              <w:t>The same services subject to Concurrent Review and Prior Authorization are also subject to Retrospective Review</w:t>
            </w:r>
          </w:p>
        </w:tc>
        <w:tc>
          <w:tcPr>
            <w:tcW w:w="2500" w:type="pct"/>
            <w:tcBorders>
              <w:top w:val="single" w:sz="4" w:space="0" w:color="auto"/>
              <w:left w:val="single" w:sz="4" w:space="0" w:color="auto"/>
              <w:bottom w:val="single" w:sz="4" w:space="0" w:color="auto"/>
              <w:right w:val="single" w:sz="4" w:space="0" w:color="auto"/>
            </w:tcBorders>
            <w:hideMark/>
          </w:tcPr>
          <w:p w14:paraId="554C7DBA" w14:textId="77777777" w:rsidR="00EB78C2" w:rsidRPr="00D61E32" w:rsidRDefault="00EB78C2">
            <w:pPr>
              <w:rPr>
                <w:rFonts w:ascii="Century Gothic" w:hAnsi="Century Gothic" w:cs="Arial"/>
              </w:rPr>
            </w:pPr>
            <w:r w:rsidRPr="00D61E32">
              <w:rPr>
                <w:rFonts w:ascii="Century Gothic" w:hAnsi="Century Gothic" w:cs="Arial"/>
                <w:b/>
                <w:i/>
              </w:rPr>
              <w:t>Step 1(b): Identify the MH/SUD benefits/services for which Retrospective Review is required</w:t>
            </w:r>
            <w:r w:rsidRPr="00D61E32">
              <w:rPr>
                <w:rFonts w:ascii="Century Gothic" w:hAnsi="Century Gothic" w:cs="Arial"/>
              </w:rPr>
              <w:t>:</w:t>
            </w:r>
            <w:r w:rsidRPr="00D61E32">
              <w:rPr>
                <w:rStyle w:val="FootnoteReference"/>
                <w:rFonts w:ascii="Century Gothic" w:hAnsi="Century Gothic" w:cs="Arial"/>
              </w:rPr>
              <w:footnoteReference w:id="36"/>
            </w:r>
          </w:p>
          <w:p w14:paraId="39028FCA" w14:textId="5EB8C6CA" w:rsidR="00EB78C2" w:rsidRPr="00FD0F3F" w:rsidRDefault="00EB78C2">
            <w:pPr>
              <w:rPr>
                <w:rFonts w:ascii="Century Gothic" w:hAnsi="Century Gothic" w:cs="Arial"/>
              </w:rPr>
            </w:pPr>
            <w:r w:rsidRPr="00D61E32">
              <w:rPr>
                <w:rFonts w:ascii="Century Gothic" w:hAnsi="Century Gothic" w:cs="Arial"/>
              </w:rPr>
              <w:t>The same services subject to Concurrent Review and Prior Authorization are also subject to Retrospective Review</w:t>
            </w:r>
          </w:p>
        </w:tc>
      </w:tr>
      <w:tr w:rsidR="00EB78C2" w:rsidRPr="00D61E32" w14:paraId="0A881F31" w14:textId="77777777" w:rsidTr="0026724E">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426E24" w14:textId="77777777" w:rsidR="00EB78C2" w:rsidRPr="00D61E32" w:rsidRDefault="00EB78C2">
            <w:pPr>
              <w:rPr>
                <w:rFonts w:ascii="Century Gothic" w:eastAsia="Times New Roman" w:hAnsi="Century Gothic" w:cs="Arial"/>
                <w:b/>
                <w:bCs/>
              </w:rPr>
            </w:pPr>
            <w:r w:rsidRPr="00D61E32">
              <w:rPr>
                <w:rFonts w:ascii="Century Gothic" w:eastAsia="Times New Roman" w:hAnsi="Century Gothic" w:cs="Arial"/>
                <w:b/>
                <w:bCs/>
              </w:rPr>
              <w:t>Step 2 – Identify the factors used to determine that Retrospective Review will apply to mental health or substance use disorder benefits and medical or surgical benefits</w:t>
            </w:r>
            <w:r w:rsidRPr="00D61E32">
              <w:rPr>
                <w:rStyle w:val="FootnoteReference"/>
                <w:rFonts w:ascii="Century Gothic" w:eastAsia="Times New Roman" w:hAnsi="Century Gothic" w:cs="Arial"/>
                <w:b/>
                <w:bCs/>
              </w:rPr>
              <w:footnoteReference w:id="37"/>
            </w:r>
          </w:p>
        </w:tc>
      </w:tr>
      <w:tr w:rsidR="00EB78C2" w:rsidRPr="00D61E32" w14:paraId="65B15A00" w14:textId="77777777" w:rsidTr="0026724E">
        <w:trPr>
          <w:trHeight w:val="1430"/>
        </w:trPr>
        <w:tc>
          <w:tcPr>
            <w:tcW w:w="2500" w:type="pct"/>
            <w:tcBorders>
              <w:top w:val="single" w:sz="4" w:space="0" w:color="auto"/>
              <w:left w:val="single" w:sz="4" w:space="0" w:color="auto"/>
              <w:bottom w:val="single" w:sz="4" w:space="0" w:color="auto"/>
              <w:right w:val="single" w:sz="4" w:space="0" w:color="auto"/>
            </w:tcBorders>
          </w:tcPr>
          <w:p w14:paraId="5068A418" w14:textId="2BBA839E" w:rsidR="00EB78C2" w:rsidRPr="00D61E32" w:rsidRDefault="00EB78C2">
            <w:pPr>
              <w:rPr>
                <w:rFonts w:ascii="Century Gothic" w:eastAsia="Times New Roman" w:hAnsi="Century Gothic" w:cs="Arial"/>
              </w:rPr>
            </w:pPr>
            <w:r w:rsidRPr="00D61E32">
              <w:rPr>
                <w:rFonts w:ascii="Century Gothic" w:eastAsia="Times New Roman" w:hAnsi="Century Gothic" w:cs="Arial"/>
                <w:b/>
              </w:rPr>
              <w:t>Medical/Surgical</w:t>
            </w:r>
            <w:r w:rsidRPr="00D61E32">
              <w:rPr>
                <w:rFonts w:ascii="Century Gothic" w:eastAsia="Times New Roman" w:hAnsi="Century Gothic" w:cs="Arial"/>
              </w:rPr>
              <w:t>:</w:t>
            </w:r>
          </w:p>
          <w:p w14:paraId="1F7E168C" w14:textId="236E16CF" w:rsidR="00EB78C2" w:rsidRPr="00E70A33" w:rsidRDefault="00EB78C2">
            <w:pPr>
              <w:rPr>
                <w:rFonts w:ascii="Century Gothic" w:eastAsia="Times New Roman" w:hAnsi="Century Gothic" w:cs="Arial"/>
              </w:rPr>
            </w:pPr>
            <w:r w:rsidRPr="00D61E32">
              <w:rPr>
                <w:rFonts w:ascii="Century Gothic" w:eastAsia="Times New Roman" w:hAnsi="Century Gothic" w:cs="Arial"/>
              </w:rPr>
              <w:t xml:space="preserve">A. Factors for determining whether to apply RR: </w:t>
            </w:r>
          </w:p>
          <w:p w14:paraId="4333BBB2" w14:textId="77777777" w:rsidR="00EB78C2" w:rsidRPr="00D61E32" w:rsidRDefault="00EB78C2" w:rsidP="00EB78C2">
            <w:pPr>
              <w:pStyle w:val="ListParagraph"/>
              <w:numPr>
                <w:ilvl w:val="0"/>
                <w:numId w:val="39"/>
              </w:numPr>
              <w:spacing w:after="0" w:line="240" w:lineRule="auto"/>
              <w:rPr>
                <w:rFonts w:ascii="Century Gothic" w:eastAsia="Times New Roman" w:hAnsi="Century Gothic" w:cs="Arial"/>
              </w:rPr>
            </w:pPr>
            <w:r w:rsidRPr="00D61E32">
              <w:rPr>
                <w:rFonts w:ascii="Century Gothic" w:hAnsi="Century Gothic" w:cs="Arial"/>
              </w:rPr>
              <w:t>Whether the service is determined to be experimental/investigational/unproven</w:t>
            </w:r>
          </w:p>
          <w:p w14:paraId="32B47667" w14:textId="77777777" w:rsidR="00EB78C2" w:rsidRPr="00D61E32" w:rsidRDefault="00EB78C2" w:rsidP="00EB78C2">
            <w:pPr>
              <w:pStyle w:val="ListParagraph"/>
              <w:numPr>
                <w:ilvl w:val="0"/>
                <w:numId w:val="39"/>
              </w:numPr>
              <w:spacing w:after="0" w:line="240" w:lineRule="auto"/>
              <w:rPr>
                <w:rFonts w:ascii="Century Gothic" w:eastAsia="Times New Roman" w:hAnsi="Century Gothic" w:cs="Arial"/>
              </w:rPr>
            </w:pPr>
            <w:r w:rsidRPr="00D61E32">
              <w:rPr>
                <w:rFonts w:ascii="Century Gothic" w:hAnsi="Century Gothic" w:cs="Arial"/>
              </w:rPr>
              <w:t>Whether the service is/may be excluded from coverage</w:t>
            </w:r>
          </w:p>
          <w:p w14:paraId="502F25FC" w14:textId="77777777" w:rsidR="00EB78C2" w:rsidRPr="00D61E32" w:rsidRDefault="00EB78C2" w:rsidP="00EB78C2">
            <w:pPr>
              <w:pStyle w:val="ListParagraph"/>
              <w:numPr>
                <w:ilvl w:val="0"/>
                <w:numId w:val="39"/>
              </w:numPr>
              <w:spacing w:after="0" w:line="240" w:lineRule="auto"/>
              <w:rPr>
                <w:rFonts w:ascii="Century Gothic" w:eastAsia="Times New Roman" w:hAnsi="Century Gothic" w:cs="Arial"/>
              </w:rPr>
            </w:pPr>
            <w:r w:rsidRPr="00D61E32">
              <w:rPr>
                <w:rFonts w:ascii="Century Gothic" w:hAnsi="Century Gothic" w:cs="Arial"/>
              </w:rPr>
              <w:t>Whether the service presents a serious risk to enrollee safety</w:t>
            </w:r>
          </w:p>
          <w:p w14:paraId="3BD102D9" w14:textId="77777777" w:rsidR="00EB78C2" w:rsidRPr="00D61E32" w:rsidRDefault="00EB78C2" w:rsidP="00EB78C2">
            <w:pPr>
              <w:pStyle w:val="ListParagraph"/>
              <w:numPr>
                <w:ilvl w:val="0"/>
                <w:numId w:val="39"/>
              </w:numPr>
              <w:spacing w:after="0" w:line="240" w:lineRule="auto"/>
              <w:rPr>
                <w:rFonts w:ascii="Century Gothic" w:eastAsia="Times New Roman" w:hAnsi="Century Gothic" w:cs="Arial"/>
              </w:rPr>
            </w:pPr>
            <w:r w:rsidRPr="00D61E32">
              <w:rPr>
                <w:rFonts w:ascii="Century Gothic" w:hAnsi="Century Gothic" w:cs="Arial"/>
              </w:rPr>
              <w:t>Whether the service demonstrates significant variations from evidence-based care</w:t>
            </w:r>
          </w:p>
          <w:p w14:paraId="5C67118D" w14:textId="77777777" w:rsidR="00EB78C2" w:rsidRPr="00D61E32" w:rsidRDefault="00EB78C2" w:rsidP="00EB78C2">
            <w:pPr>
              <w:pStyle w:val="ListParagraph"/>
              <w:numPr>
                <w:ilvl w:val="0"/>
                <w:numId w:val="39"/>
              </w:numPr>
              <w:spacing w:after="0" w:line="240" w:lineRule="auto"/>
              <w:rPr>
                <w:rFonts w:ascii="Century Gothic" w:eastAsia="Times New Roman" w:hAnsi="Century Gothic" w:cs="Arial"/>
              </w:rPr>
            </w:pPr>
            <w:r w:rsidRPr="00D61E32">
              <w:rPr>
                <w:rFonts w:ascii="Century Gothic" w:hAnsi="Century Gothic" w:cs="Arial"/>
              </w:rPr>
              <w:t xml:space="preserve">Whether there is a high incidence of fraud, waste, and/or </w:t>
            </w:r>
            <w:proofErr w:type="gramStart"/>
            <w:r w:rsidRPr="00D61E32">
              <w:rPr>
                <w:rFonts w:ascii="Century Gothic" w:hAnsi="Century Gothic" w:cs="Arial"/>
              </w:rPr>
              <w:t>abuse</w:t>
            </w:r>
            <w:proofErr w:type="gramEnd"/>
            <w:r w:rsidRPr="00D61E32">
              <w:rPr>
                <w:rFonts w:ascii="Century Gothic" w:hAnsi="Century Gothic" w:cs="Arial"/>
              </w:rPr>
              <w:t xml:space="preserve"> </w:t>
            </w:r>
          </w:p>
          <w:p w14:paraId="79193C70" w14:textId="77777777" w:rsidR="00EB78C2" w:rsidRPr="00D61E32" w:rsidRDefault="00EB78C2" w:rsidP="00EB78C2">
            <w:pPr>
              <w:pStyle w:val="ListParagraph"/>
              <w:numPr>
                <w:ilvl w:val="0"/>
                <w:numId w:val="39"/>
              </w:numPr>
              <w:spacing w:after="0" w:line="240" w:lineRule="auto"/>
              <w:rPr>
                <w:rFonts w:ascii="Century Gothic" w:eastAsia="Times New Roman" w:hAnsi="Century Gothic" w:cs="Arial"/>
              </w:rPr>
            </w:pPr>
            <w:r w:rsidRPr="00D61E32">
              <w:rPr>
                <w:rFonts w:ascii="Century Gothic" w:hAnsi="Century Gothic" w:cs="Arial"/>
              </w:rPr>
              <w:t>Whether the service is associated with a high average cost</w:t>
            </w:r>
          </w:p>
          <w:p w14:paraId="58309C4E" w14:textId="77777777" w:rsidR="00EB78C2" w:rsidRPr="00D61E32" w:rsidRDefault="00EB78C2" w:rsidP="00EB78C2">
            <w:pPr>
              <w:pStyle w:val="ListParagraph"/>
              <w:numPr>
                <w:ilvl w:val="0"/>
                <w:numId w:val="39"/>
              </w:numPr>
              <w:spacing w:after="0" w:line="240" w:lineRule="auto"/>
              <w:rPr>
                <w:rFonts w:ascii="Century Gothic" w:eastAsia="Times New Roman" w:hAnsi="Century Gothic" w:cs="Arial"/>
              </w:rPr>
            </w:pPr>
            <w:r w:rsidRPr="00D61E32">
              <w:rPr>
                <w:rFonts w:ascii="Century Gothic" w:hAnsi="Century Gothic" w:cs="Arial"/>
              </w:rPr>
              <w:t xml:space="preserve">Performing coverage reviews for a service is projected to meet or exceed a certain return on investment </w:t>
            </w:r>
            <w:proofErr w:type="gramStart"/>
            <w:r w:rsidRPr="00D61E32">
              <w:rPr>
                <w:rFonts w:ascii="Century Gothic" w:hAnsi="Century Gothic" w:cs="Arial"/>
              </w:rPr>
              <w:t>ratio</w:t>
            </w:r>
            <w:proofErr w:type="gramEnd"/>
          </w:p>
          <w:p w14:paraId="0E6E1BE9" w14:textId="2F023DA2"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B. Factors for determining whether to remove </w:t>
            </w:r>
            <w:proofErr w:type="gramStart"/>
            <w:r w:rsidRPr="00D61E32">
              <w:rPr>
                <w:rFonts w:ascii="Century Gothic" w:eastAsia="Times New Roman" w:hAnsi="Century Gothic" w:cs="Arial"/>
              </w:rPr>
              <w:t>RR</w:t>
            </w:r>
            <w:proofErr w:type="gramEnd"/>
            <w:r w:rsidRPr="00D61E32">
              <w:rPr>
                <w:rFonts w:ascii="Century Gothic" w:eastAsia="Times New Roman" w:hAnsi="Century Gothic" w:cs="Arial"/>
              </w:rPr>
              <w:t xml:space="preserve"> </w:t>
            </w:r>
          </w:p>
          <w:p w14:paraId="313182C7" w14:textId="77777777" w:rsidR="00EB78C2" w:rsidRPr="00D61E32" w:rsidRDefault="00EB78C2">
            <w:pPr>
              <w:rPr>
                <w:rFonts w:ascii="Century Gothic" w:hAnsi="Century Gothic" w:cs="Arial"/>
              </w:rPr>
            </w:pPr>
            <w:r w:rsidRPr="00D61E32">
              <w:rPr>
                <w:rFonts w:ascii="Century Gothic" w:hAnsi="Century Gothic" w:cs="Arial"/>
              </w:rPr>
              <w:t xml:space="preserve">Once Wellfleet receives the list of services subject to RR from Cigna, Wellfleet can choose to remove RR from certain benefits/ services. Wellfleet uses the following factors to determine whether to remove RR from certain services : </w:t>
            </w:r>
          </w:p>
          <w:p w14:paraId="5372CA8F" w14:textId="77777777" w:rsidR="00EB78C2" w:rsidRPr="00D61E32" w:rsidRDefault="00EB78C2">
            <w:pPr>
              <w:ind w:left="720"/>
              <w:rPr>
                <w:rFonts w:ascii="Century Gothic" w:hAnsi="Century Gothic" w:cs="Arial"/>
              </w:rPr>
            </w:pPr>
            <w:r w:rsidRPr="00D61E32">
              <w:rPr>
                <w:rFonts w:ascii="Century Gothic" w:hAnsi="Century Gothic" w:cs="Arial"/>
              </w:rPr>
              <w:t xml:space="preserve">1. ROI </w:t>
            </w:r>
          </w:p>
          <w:p w14:paraId="4388FFB9" w14:textId="3CDC4476" w:rsidR="00EB78C2" w:rsidRPr="00E70A33" w:rsidRDefault="00EB78C2" w:rsidP="00E70A33">
            <w:pPr>
              <w:ind w:left="720"/>
              <w:rPr>
                <w:rFonts w:ascii="Century Gothic" w:hAnsi="Century Gothic" w:cs="Arial"/>
              </w:rPr>
            </w:pPr>
            <w:r w:rsidRPr="00D61E32">
              <w:rPr>
                <w:rFonts w:ascii="Century Gothic" w:hAnsi="Century Gothic" w:cs="Arial"/>
              </w:rPr>
              <w:t xml:space="preserve">2. School preference/ selection (used only to remove RR) </w:t>
            </w:r>
          </w:p>
        </w:tc>
        <w:tc>
          <w:tcPr>
            <w:tcW w:w="2500" w:type="pct"/>
            <w:tcBorders>
              <w:top w:val="single" w:sz="4" w:space="0" w:color="auto"/>
              <w:left w:val="single" w:sz="4" w:space="0" w:color="auto"/>
              <w:bottom w:val="single" w:sz="4" w:space="0" w:color="auto"/>
              <w:right w:val="single" w:sz="4" w:space="0" w:color="auto"/>
            </w:tcBorders>
          </w:tcPr>
          <w:p w14:paraId="681E36CD" w14:textId="2D57FC12" w:rsidR="00EB78C2" w:rsidRPr="00D61E32" w:rsidRDefault="00EB78C2">
            <w:pPr>
              <w:rPr>
                <w:rFonts w:ascii="Century Gothic" w:eastAsia="Times New Roman" w:hAnsi="Century Gothic" w:cs="Arial"/>
              </w:rPr>
            </w:pPr>
            <w:r w:rsidRPr="00D61E32">
              <w:rPr>
                <w:rFonts w:ascii="Century Gothic" w:eastAsia="Times New Roman" w:hAnsi="Century Gothic" w:cs="Arial"/>
                <w:b/>
              </w:rPr>
              <w:t>MH/SUD</w:t>
            </w:r>
            <w:r w:rsidRPr="00D61E32">
              <w:rPr>
                <w:rFonts w:ascii="Century Gothic" w:eastAsia="Times New Roman" w:hAnsi="Century Gothic" w:cs="Arial"/>
              </w:rPr>
              <w:t>:</w:t>
            </w:r>
          </w:p>
          <w:p w14:paraId="6A293900"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A. Factors for determining whether to apply RR: </w:t>
            </w:r>
          </w:p>
          <w:p w14:paraId="4A7CAFBB" w14:textId="77777777" w:rsidR="00EB78C2" w:rsidRPr="00D61E32" w:rsidRDefault="00EB78C2">
            <w:pPr>
              <w:rPr>
                <w:rFonts w:ascii="Century Gothic" w:eastAsia="Times New Roman" w:hAnsi="Century Gothic" w:cs="Arial"/>
              </w:rPr>
            </w:pPr>
          </w:p>
          <w:p w14:paraId="2C6E8701" w14:textId="77777777" w:rsidR="00EB78C2" w:rsidRPr="00D61E32" w:rsidRDefault="00EB78C2">
            <w:pPr>
              <w:rPr>
                <w:rFonts w:ascii="Century Gothic" w:eastAsia="Times New Roman" w:hAnsi="Century Gothic" w:cs="Arial"/>
              </w:rPr>
            </w:pPr>
          </w:p>
          <w:p w14:paraId="273E04AF" w14:textId="77777777" w:rsidR="00EB78C2" w:rsidRPr="00D61E32" w:rsidRDefault="00EB78C2">
            <w:pPr>
              <w:rPr>
                <w:rFonts w:ascii="Century Gothic" w:eastAsia="Times New Roman" w:hAnsi="Century Gothic" w:cs="Arial"/>
              </w:rPr>
            </w:pPr>
          </w:p>
          <w:p w14:paraId="114686D1" w14:textId="77777777" w:rsidR="00EB78C2" w:rsidRPr="00D61E32" w:rsidRDefault="00EB78C2">
            <w:pPr>
              <w:rPr>
                <w:rFonts w:ascii="Century Gothic" w:eastAsia="Times New Roman" w:hAnsi="Century Gothic" w:cs="Arial"/>
              </w:rPr>
            </w:pPr>
          </w:p>
          <w:p w14:paraId="59AEC037" w14:textId="77777777" w:rsidR="00EB78C2" w:rsidRPr="00D61E32" w:rsidRDefault="00EB78C2">
            <w:pPr>
              <w:rPr>
                <w:rFonts w:ascii="Century Gothic" w:eastAsia="Times New Roman" w:hAnsi="Century Gothic" w:cs="Arial"/>
              </w:rPr>
            </w:pPr>
          </w:p>
          <w:p w14:paraId="2010D1FA" w14:textId="77777777" w:rsidR="00EB78C2" w:rsidRPr="00D61E32" w:rsidRDefault="00EB78C2">
            <w:pPr>
              <w:rPr>
                <w:rFonts w:ascii="Century Gothic" w:eastAsia="Times New Roman" w:hAnsi="Century Gothic" w:cs="Arial"/>
              </w:rPr>
            </w:pPr>
          </w:p>
          <w:p w14:paraId="40542F0C" w14:textId="77777777" w:rsidR="00EB78C2" w:rsidRPr="00D61E32" w:rsidRDefault="00EB78C2">
            <w:pPr>
              <w:rPr>
                <w:rFonts w:ascii="Century Gothic" w:eastAsia="Times New Roman" w:hAnsi="Century Gothic" w:cs="Arial"/>
              </w:rPr>
            </w:pPr>
          </w:p>
          <w:p w14:paraId="789DC748" w14:textId="77777777" w:rsidR="00EB78C2" w:rsidRPr="00D61E32" w:rsidRDefault="00EB78C2">
            <w:pPr>
              <w:rPr>
                <w:rFonts w:ascii="Century Gothic" w:eastAsia="Times New Roman" w:hAnsi="Century Gothic" w:cs="Arial"/>
              </w:rPr>
            </w:pPr>
          </w:p>
          <w:p w14:paraId="57F312E3" w14:textId="77777777" w:rsidR="00EB78C2" w:rsidRDefault="00EB78C2">
            <w:pPr>
              <w:rPr>
                <w:rFonts w:ascii="Century Gothic" w:eastAsia="Times New Roman" w:hAnsi="Century Gothic" w:cs="Arial"/>
              </w:rPr>
            </w:pPr>
          </w:p>
          <w:p w14:paraId="78DD9E54" w14:textId="77777777" w:rsidR="00E70A33" w:rsidRDefault="00E70A33">
            <w:pPr>
              <w:rPr>
                <w:rFonts w:ascii="Century Gothic" w:eastAsia="Times New Roman" w:hAnsi="Century Gothic" w:cs="Arial"/>
              </w:rPr>
            </w:pPr>
          </w:p>
          <w:p w14:paraId="22739238" w14:textId="77777777" w:rsidR="00E70A33" w:rsidRDefault="00E70A33">
            <w:pPr>
              <w:rPr>
                <w:rFonts w:ascii="Century Gothic" w:eastAsia="Times New Roman" w:hAnsi="Century Gothic" w:cs="Arial"/>
              </w:rPr>
            </w:pPr>
          </w:p>
          <w:p w14:paraId="5127037C" w14:textId="040334B7"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B. Factors for determining whether to remove RR: </w:t>
            </w:r>
          </w:p>
          <w:p w14:paraId="60BDA009"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Same as M/S</w:t>
            </w:r>
          </w:p>
        </w:tc>
      </w:tr>
      <w:tr w:rsidR="00EB78C2" w:rsidRPr="00D61E32" w14:paraId="71D6D281" w14:textId="77777777" w:rsidTr="0026724E">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69EF2" w14:textId="77777777" w:rsidR="00EB78C2" w:rsidRPr="00D61E32" w:rsidRDefault="00EB78C2">
            <w:pPr>
              <w:rPr>
                <w:rFonts w:ascii="Century Gothic" w:eastAsia="Times New Roman" w:hAnsi="Century Gothic" w:cs="Arial"/>
                <w:b/>
                <w:bCs/>
              </w:rPr>
            </w:pPr>
            <w:r w:rsidRPr="00D61E32">
              <w:rPr>
                <w:rFonts w:ascii="Century Gothic" w:eastAsia="Times New Roman" w:hAnsi="Century Gothic" w:cs="Arial"/>
                <w:b/>
                <w:bCs/>
              </w:rPr>
              <w:t>Step 3 – Identify the evidentiary standards used for the factors identified in Step 2, when applicable, provided that every factor shall be defined, and any other source or evidence relied upon to design and apply Retrospective Review to mental health or substance use disorder benefits and medical or surgical benefits.</w:t>
            </w:r>
          </w:p>
          <w:p w14:paraId="479C87CD" w14:textId="77777777" w:rsidR="00EB78C2" w:rsidRPr="00D61E32" w:rsidRDefault="00EB78C2" w:rsidP="00EB78C2">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Analyses should explain whether any factors were given more weight than others and the reason(s) for doing so, including an evaluation of any specific data used in the determination.</w:t>
            </w:r>
          </w:p>
          <w:p w14:paraId="5B128DCD" w14:textId="77777777" w:rsidR="00EB78C2" w:rsidRPr="00D61E32" w:rsidRDefault="00EB78C2" w:rsidP="00EB78C2">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To the extent the plan or issuer defines any of the factors, evidentiary standards, strategies, or processes in a quantitative manner, it must include the precise definitions used and any supporting sources.</w:t>
            </w:r>
            <w:r w:rsidRPr="00D61E32">
              <w:rPr>
                <w:rStyle w:val="FootnoteReference"/>
                <w:rFonts w:ascii="Century Gothic" w:eastAsia="Times New Roman" w:hAnsi="Century Gothic" w:cs="Arial"/>
                <w:bCs/>
                <w:i/>
              </w:rPr>
              <w:footnoteReference w:id="38"/>
            </w:r>
          </w:p>
        </w:tc>
      </w:tr>
      <w:tr w:rsidR="00EB78C2" w:rsidRPr="00D61E32" w14:paraId="7B8BC795" w14:textId="77777777" w:rsidTr="0026724E">
        <w:trPr>
          <w:trHeight w:val="1720"/>
        </w:trPr>
        <w:tc>
          <w:tcPr>
            <w:tcW w:w="2500" w:type="pct"/>
            <w:tcBorders>
              <w:top w:val="single" w:sz="4" w:space="0" w:color="auto"/>
              <w:left w:val="single" w:sz="4" w:space="0" w:color="auto"/>
              <w:bottom w:val="single" w:sz="4" w:space="0" w:color="auto"/>
              <w:right w:val="single" w:sz="4" w:space="0" w:color="auto"/>
            </w:tcBorders>
          </w:tcPr>
          <w:p w14:paraId="66ABF456" w14:textId="693B3B48" w:rsidR="00EB78C2" w:rsidRPr="00D61E32" w:rsidRDefault="00EB78C2">
            <w:pPr>
              <w:rPr>
                <w:rFonts w:ascii="Century Gothic" w:eastAsia="Times New Roman" w:hAnsi="Century Gothic" w:cs="Arial"/>
              </w:rPr>
            </w:pPr>
            <w:r w:rsidRPr="00D61E32">
              <w:rPr>
                <w:rFonts w:ascii="Century Gothic" w:eastAsia="Times New Roman" w:hAnsi="Century Gothic" w:cs="Arial"/>
                <w:b/>
              </w:rPr>
              <w:t>Medical/Surgical</w:t>
            </w:r>
            <w:r w:rsidRPr="00D61E32">
              <w:rPr>
                <w:rFonts w:ascii="Century Gothic" w:eastAsia="Times New Roman" w:hAnsi="Century Gothic" w:cs="Arial"/>
              </w:rPr>
              <w:t>:</w:t>
            </w:r>
          </w:p>
          <w:p w14:paraId="2BD6A591" w14:textId="4E8C9C19" w:rsidR="00EB78C2" w:rsidRPr="00E70A33" w:rsidRDefault="00EB78C2" w:rsidP="00E70A33">
            <w:pPr>
              <w:pStyle w:val="ListParagraph"/>
              <w:numPr>
                <w:ilvl w:val="0"/>
                <w:numId w:val="40"/>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Factors for determining whether to apply RR: </w:t>
            </w:r>
          </w:p>
          <w:p w14:paraId="649A807E" w14:textId="77777777" w:rsidR="00EB78C2" w:rsidRPr="00D61E32" w:rsidRDefault="00EB78C2" w:rsidP="00EB78C2">
            <w:pPr>
              <w:pStyle w:val="BodyText"/>
              <w:widowControl w:val="0"/>
              <w:numPr>
                <w:ilvl w:val="0"/>
                <w:numId w:val="41"/>
              </w:numPr>
              <w:autoSpaceDE w:val="0"/>
              <w:autoSpaceDN w:val="0"/>
              <w:spacing w:before="2" w:after="0" w:line="256" w:lineRule="auto"/>
              <w:rPr>
                <w:rFonts w:ascii="Century Gothic" w:eastAsiaTheme="minorHAnsi" w:hAnsi="Century Gothic" w:cs="Arial"/>
                <w:sz w:val="22"/>
                <w:szCs w:val="22"/>
              </w:rPr>
            </w:pPr>
            <w:r w:rsidRPr="00D61E32">
              <w:rPr>
                <w:rFonts w:ascii="Century Gothic" w:hAnsi="Century Gothic" w:cs="Arial"/>
                <w:sz w:val="22"/>
                <w:szCs w:val="22"/>
              </w:rPr>
              <w:t>Whether the service is determined to be experimental/investigational/unproven</w:t>
            </w:r>
          </w:p>
          <w:p w14:paraId="1640534B" w14:textId="77777777" w:rsidR="00EB78C2" w:rsidRPr="00D61E32" w:rsidRDefault="00EB78C2">
            <w:pPr>
              <w:pStyle w:val="BodyText"/>
              <w:widowControl w:val="0"/>
              <w:autoSpaceDE w:val="0"/>
              <w:autoSpaceDN w:val="0"/>
              <w:spacing w:before="2" w:after="0" w:line="256" w:lineRule="auto"/>
              <w:ind w:left="720"/>
              <w:rPr>
                <w:rFonts w:ascii="Century Gothic" w:hAnsi="Century Gothic" w:cs="Arial"/>
                <w:sz w:val="22"/>
                <w:szCs w:val="22"/>
              </w:rPr>
            </w:pPr>
            <w:r w:rsidRPr="00D61E32">
              <w:rPr>
                <w:rFonts w:ascii="Century Gothic" w:hAnsi="Century Gothic" w:cs="Arial"/>
                <w:sz w:val="22"/>
                <w:szCs w:val="22"/>
                <w:u w:val="single"/>
              </w:rPr>
              <w:t>Evidentiary Standard</w:t>
            </w:r>
            <w:r w:rsidRPr="00D61E32">
              <w:rPr>
                <w:rFonts w:ascii="Century Gothic" w:hAnsi="Century Gothic" w:cs="Arial"/>
                <w:sz w:val="22"/>
                <w:szCs w:val="22"/>
              </w:rPr>
              <w:t xml:space="preserve">: A service </w:t>
            </w:r>
            <w:proofErr w:type="gramStart"/>
            <w:r w:rsidRPr="00D61E32">
              <w:rPr>
                <w:rFonts w:ascii="Century Gothic" w:hAnsi="Century Gothic" w:cs="Arial"/>
                <w:sz w:val="22"/>
                <w:szCs w:val="22"/>
              </w:rPr>
              <w:t>is considered to be</w:t>
            </w:r>
            <w:proofErr w:type="gramEnd"/>
            <w:r w:rsidRPr="00D61E32">
              <w:rPr>
                <w:rFonts w:ascii="Century Gothic" w:hAnsi="Century Gothic" w:cs="Arial"/>
                <w:sz w:val="22"/>
                <w:szCs w:val="22"/>
              </w:rPr>
              <w:t xml:space="preserve"> EIU if an assessment of available clinical evidence establishes any of the following:</w:t>
            </w:r>
          </w:p>
          <w:p w14:paraId="3CC81ED7" w14:textId="77777777" w:rsidR="00EB78C2" w:rsidRPr="00D61E32" w:rsidRDefault="00EB78C2" w:rsidP="00EB78C2">
            <w:pPr>
              <w:pStyle w:val="BodyText"/>
              <w:widowControl w:val="0"/>
              <w:numPr>
                <w:ilvl w:val="0"/>
                <w:numId w:val="42"/>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 xml:space="preserve">Inadequate volume of existing peer-reviewed, evidence-based, scientific literature to establish whether or not a technology, supplies, treatments, procedures, or devices is safe and effective for treating or diagnosing the condition or sickness for which its use is </w:t>
            </w:r>
            <w:proofErr w:type="gramStart"/>
            <w:r w:rsidRPr="00D61E32">
              <w:rPr>
                <w:rFonts w:ascii="Century Gothic" w:hAnsi="Century Gothic" w:cs="Arial"/>
                <w:sz w:val="22"/>
                <w:szCs w:val="22"/>
              </w:rPr>
              <w:t>proposed;</w:t>
            </w:r>
            <w:proofErr w:type="gramEnd"/>
          </w:p>
          <w:p w14:paraId="6453F997" w14:textId="77777777" w:rsidR="00EB78C2" w:rsidRPr="00D61E32" w:rsidRDefault="00EB78C2" w:rsidP="00EB78C2">
            <w:pPr>
              <w:pStyle w:val="BodyText"/>
              <w:widowControl w:val="0"/>
              <w:numPr>
                <w:ilvl w:val="0"/>
                <w:numId w:val="42"/>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 xml:space="preserve">when subject to U.S. Food and Drug Administration (FDA) or other appropriate regulatory agency review, not approved to be lawfully marketed for the proposed </w:t>
            </w:r>
            <w:proofErr w:type="gramStart"/>
            <w:r w:rsidRPr="00D61E32">
              <w:rPr>
                <w:rFonts w:ascii="Century Gothic" w:hAnsi="Century Gothic" w:cs="Arial"/>
                <w:sz w:val="22"/>
                <w:szCs w:val="22"/>
              </w:rPr>
              <w:t>use;</w:t>
            </w:r>
            <w:proofErr w:type="gramEnd"/>
          </w:p>
          <w:p w14:paraId="049B0DBF" w14:textId="77777777" w:rsidR="00EB78C2" w:rsidRPr="00D61E32" w:rsidRDefault="00EB78C2" w:rsidP="00EB78C2">
            <w:pPr>
              <w:pStyle w:val="BodyText"/>
              <w:widowControl w:val="0"/>
              <w:numPr>
                <w:ilvl w:val="0"/>
                <w:numId w:val="42"/>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the subject of review or approval by an Institutional Review Board for the proposed use except as provided in a clinical trial; or</w:t>
            </w:r>
          </w:p>
          <w:p w14:paraId="628B07C9" w14:textId="043EA7C1" w:rsidR="00EB78C2" w:rsidRPr="00E70A33" w:rsidRDefault="00EB78C2" w:rsidP="00E70A33">
            <w:pPr>
              <w:pStyle w:val="BodyText"/>
              <w:widowControl w:val="0"/>
              <w:numPr>
                <w:ilvl w:val="0"/>
                <w:numId w:val="42"/>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the subject of an ongoing phase I, II or III clinical trial, except for routine patient care costs related to qualified clinical trials.</w:t>
            </w:r>
          </w:p>
          <w:p w14:paraId="0AB69B64" w14:textId="77777777" w:rsidR="00EB78C2" w:rsidRPr="00D61E32" w:rsidRDefault="00EB78C2" w:rsidP="00EB78C2">
            <w:pPr>
              <w:pStyle w:val="BodyText"/>
              <w:widowControl w:val="0"/>
              <w:numPr>
                <w:ilvl w:val="0"/>
                <w:numId w:val="41"/>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Whether the service is/may be excluded from coverage</w:t>
            </w:r>
          </w:p>
          <w:p w14:paraId="6DFD6246" w14:textId="72B653F4" w:rsidR="00EB78C2" w:rsidRPr="00D61E32" w:rsidRDefault="00EB78C2" w:rsidP="00E70A33">
            <w:pPr>
              <w:pStyle w:val="BodyText"/>
              <w:widowControl w:val="0"/>
              <w:autoSpaceDE w:val="0"/>
              <w:autoSpaceDN w:val="0"/>
              <w:spacing w:before="2" w:after="0" w:line="256" w:lineRule="auto"/>
              <w:ind w:left="720"/>
              <w:rPr>
                <w:rFonts w:ascii="Century Gothic" w:hAnsi="Century Gothic" w:cs="Arial"/>
                <w:sz w:val="22"/>
                <w:szCs w:val="22"/>
              </w:rPr>
            </w:pPr>
            <w:r w:rsidRPr="00D61E32">
              <w:rPr>
                <w:rFonts w:ascii="Century Gothic" w:hAnsi="Century Gothic" w:cs="Arial"/>
                <w:sz w:val="22"/>
                <w:szCs w:val="22"/>
                <w:u w:val="single"/>
              </w:rPr>
              <w:t>Evidentiary Standard</w:t>
            </w:r>
            <w:r w:rsidRPr="00D61E32">
              <w:rPr>
                <w:rFonts w:ascii="Century Gothic" w:hAnsi="Century Gothic" w:cs="Arial"/>
                <w:sz w:val="22"/>
                <w:szCs w:val="22"/>
              </w:rPr>
              <w:t>: Cigna assesses whether the plan/policy excludes from coverage a particular service, or for a particular use.  Specifically, a service may be rendered for one or more uses covered by a benefit plan and one or more uses that are excluded by the benefit plan, or the intended use of the service cannot be identified based on the information provided in a submitted benefit claim.  For example, benefit plan may exclude a service if it is rendered for cosmetic purposes, but the benefit plan may cover a service if it is rendered to treat a covered condition.  The clinically appropriate uses for a service are determined through an assessment of available Clinical Evidence for the service.</w:t>
            </w:r>
          </w:p>
          <w:p w14:paraId="2CB00E91" w14:textId="77777777" w:rsidR="00EB78C2" w:rsidRPr="00D61E32" w:rsidRDefault="00EB78C2" w:rsidP="00EB78C2">
            <w:pPr>
              <w:pStyle w:val="BodyText"/>
              <w:widowControl w:val="0"/>
              <w:numPr>
                <w:ilvl w:val="0"/>
                <w:numId w:val="41"/>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Whether the service presents a serious risk to enrollee safety</w:t>
            </w:r>
          </w:p>
          <w:p w14:paraId="1A25680B" w14:textId="57BFA45C" w:rsidR="00EB78C2" w:rsidRPr="00D61E32" w:rsidRDefault="00EB78C2" w:rsidP="00E70A33">
            <w:pPr>
              <w:pStyle w:val="BodyText"/>
              <w:widowControl w:val="0"/>
              <w:autoSpaceDE w:val="0"/>
              <w:autoSpaceDN w:val="0"/>
              <w:spacing w:before="2" w:after="0" w:line="256" w:lineRule="auto"/>
              <w:ind w:left="720"/>
              <w:rPr>
                <w:rFonts w:ascii="Century Gothic" w:hAnsi="Century Gothic" w:cs="Arial"/>
                <w:sz w:val="22"/>
                <w:szCs w:val="22"/>
              </w:rPr>
            </w:pPr>
            <w:r w:rsidRPr="00D61E32">
              <w:rPr>
                <w:rFonts w:ascii="Century Gothic" w:hAnsi="Century Gothic" w:cs="Arial"/>
                <w:sz w:val="22"/>
                <w:szCs w:val="22"/>
                <w:u w:val="single"/>
              </w:rPr>
              <w:t>Evidentiary Standard</w:t>
            </w:r>
            <w:r w:rsidRPr="00D61E32">
              <w:rPr>
                <w:rFonts w:ascii="Century Gothic" w:hAnsi="Century Gothic" w:cs="Arial"/>
                <w:sz w:val="22"/>
                <w:szCs w:val="22"/>
              </w:rPr>
              <w:t>: Whether a service presents a serious risk to enrollee safety is determined through an assessment of available Clinical Evidence for the service. Examples of safety issues considered to be potentially life-threatening include a service such as rapid detoxification under anesthesia, or the use of a service that is the subject of a serious warning or recall.</w:t>
            </w:r>
          </w:p>
          <w:p w14:paraId="28152D2A" w14:textId="77777777" w:rsidR="00EB78C2" w:rsidRPr="00D61E32" w:rsidRDefault="00EB78C2" w:rsidP="00EB78C2">
            <w:pPr>
              <w:pStyle w:val="BodyText"/>
              <w:widowControl w:val="0"/>
              <w:numPr>
                <w:ilvl w:val="0"/>
                <w:numId w:val="41"/>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Whether the service demonstrates significant variations from evidence-based care</w:t>
            </w:r>
          </w:p>
          <w:p w14:paraId="7151B0D2" w14:textId="6E114CD6" w:rsidR="00EB78C2" w:rsidRPr="00D61E32" w:rsidRDefault="00EB78C2" w:rsidP="00E70A33">
            <w:pPr>
              <w:pStyle w:val="BodyText"/>
              <w:widowControl w:val="0"/>
              <w:autoSpaceDE w:val="0"/>
              <w:autoSpaceDN w:val="0"/>
              <w:spacing w:before="2" w:after="0" w:line="256" w:lineRule="auto"/>
              <w:ind w:left="720"/>
              <w:rPr>
                <w:rFonts w:ascii="Century Gothic" w:hAnsi="Century Gothic" w:cs="Arial"/>
                <w:sz w:val="22"/>
                <w:szCs w:val="22"/>
              </w:rPr>
            </w:pPr>
            <w:r w:rsidRPr="00D61E32">
              <w:rPr>
                <w:rFonts w:ascii="Century Gothic" w:hAnsi="Century Gothic" w:cs="Arial"/>
                <w:sz w:val="22"/>
                <w:szCs w:val="22"/>
                <w:u w:val="single"/>
              </w:rPr>
              <w:t>Evidentiary Standard</w:t>
            </w:r>
            <w:r w:rsidRPr="00D61E32">
              <w:rPr>
                <w:rFonts w:ascii="Century Gothic" w:hAnsi="Century Gothic" w:cs="Arial"/>
                <w:sz w:val="22"/>
                <w:szCs w:val="22"/>
              </w:rPr>
              <w:t xml:space="preserve">: A variation in evidence-based care must reflect a statistically significant standard deviation from the standard frequency or duration in treatment using the service, while accounting for operational and knowledge variations that may exist across providers and geographic areas.  What is considered </w:t>
            </w:r>
            <w:proofErr w:type="gramStart"/>
            <w:r w:rsidRPr="00D61E32">
              <w:rPr>
                <w:rFonts w:ascii="Century Gothic" w:hAnsi="Century Gothic" w:cs="Arial"/>
                <w:sz w:val="22"/>
                <w:szCs w:val="22"/>
              </w:rPr>
              <w:t>statistically-significant</w:t>
            </w:r>
            <w:proofErr w:type="gramEnd"/>
            <w:r w:rsidRPr="00D61E32">
              <w:rPr>
                <w:rFonts w:ascii="Century Gothic" w:hAnsi="Century Gothic" w:cs="Arial"/>
                <w:sz w:val="22"/>
                <w:szCs w:val="22"/>
              </w:rPr>
              <w:t xml:space="preserve"> will vary by the type of service, as the frequency or duration in treatment standard may vary by service type.</w:t>
            </w:r>
          </w:p>
          <w:p w14:paraId="65F94A98" w14:textId="77777777" w:rsidR="00EB78C2" w:rsidRPr="00D61E32" w:rsidRDefault="00EB78C2" w:rsidP="00EB78C2">
            <w:pPr>
              <w:pStyle w:val="BodyText"/>
              <w:widowControl w:val="0"/>
              <w:numPr>
                <w:ilvl w:val="0"/>
                <w:numId w:val="41"/>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 xml:space="preserve">Whether there is a high incidence of fraud, waste, and/or </w:t>
            </w:r>
            <w:proofErr w:type="gramStart"/>
            <w:r w:rsidRPr="00D61E32">
              <w:rPr>
                <w:rFonts w:ascii="Century Gothic" w:hAnsi="Century Gothic" w:cs="Arial"/>
                <w:sz w:val="22"/>
                <w:szCs w:val="22"/>
              </w:rPr>
              <w:t>abuse</w:t>
            </w:r>
            <w:proofErr w:type="gramEnd"/>
          </w:p>
          <w:p w14:paraId="150F936F" w14:textId="28BDB1C5" w:rsidR="00EB78C2" w:rsidRPr="00D61E32" w:rsidRDefault="00EB78C2" w:rsidP="00E70A33">
            <w:pPr>
              <w:pStyle w:val="BodyText"/>
              <w:widowControl w:val="0"/>
              <w:autoSpaceDE w:val="0"/>
              <w:autoSpaceDN w:val="0"/>
              <w:spacing w:before="2" w:after="0" w:line="256" w:lineRule="auto"/>
              <w:ind w:left="720"/>
              <w:rPr>
                <w:rFonts w:ascii="Century Gothic" w:hAnsi="Century Gothic" w:cs="Arial"/>
                <w:sz w:val="22"/>
                <w:szCs w:val="22"/>
              </w:rPr>
            </w:pPr>
            <w:r w:rsidRPr="00D61E32">
              <w:rPr>
                <w:rFonts w:ascii="Century Gothic" w:hAnsi="Century Gothic" w:cs="Arial"/>
                <w:sz w:val="22"/>
                <w:szCs w:val="22"/>
                <w:u w:val="single"/>
              </w:rPr>
              <w:t>Evidentiary Standard</w:t>
            </w:r>
            <w:r w:rsidRPr="00D61E32">
              <w:rPr>
                <w:rFonts w:ascii="Century Gothic" w:hAnsi="Century Gothic" w:cs="Arial"/>
                <w:sz w:val="22"/>
                <w:szCs w:val="22"/>
              </w:rPr>
              <w:t>: identified in publications by organizations that track trends regarding fraud waste, and abuse in utilization of healthcare services.</w:t>
            </w:r>
          </w:p>
          <w:p w14:paraId="1197B529" w14:textId="77777777" w:rsidR="00EB78C2" w:rsidRPr="00D61E32" w:rsidRDefault="00EB78C2" w:rsidP="00EB78C2">
            <w:pPr>
              <w:pStyle w:val="BodyText"/>
              <w:widowControl w:val="0"/>
              <w:numPr>
                <w:ilvl w:val="0"/>
                <w:numId w:val="41"/>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 xml:space="preserve">Whether the service is associated with a high average cost.  </w:t>
            </w:r>
          </w:p>
          <w:p w14:paraId="040DA357" w14:textId="77777777" w:rsidR="00EB78C2" w:rsidRPr="00D61E32" w:rsidRDefault="00EB78C2">
            <w:pPr>
              <w:pStyle w:val="BodyText"/>
              <w:widowControl w:val="0"/>
              <w:autoSpaceDE w:val="0"/>
              <w:autoSpaceDN w:val="0"/>
              <w:spacing w:before="2" w:after="0" w:line="256" w:lineRule="auto"/>
              <w:ind w:left="720"/>
              <w:rPr>
                <w:rFonts w:ascii="Century Gothic" w:hAnsi="Century Gothic" w:cs="Arial"/>
                <w:sz w:val="22"/>
                <w:szCs w:val="22"/>
              </w:rPr>
            </w:pPr>
            <w:r w:rsidRPr="00D61E32">
              <w:rPr>
                <w:rFonts w:ascii="Century Gothic" w:hAnsi="Century Gothic" w:cs="Arial"/>
                <w:sz w:val="22"/>
                <w:szCs w:val="22"/>
                <w:u w:val="single"/>
              </w:rPr>
              <w:t>Evidentiary Standard</w:t>
            </w:r>
            <w:r w:rsidRPr="00D61E32">
              <w:rPr>
                <w:rFonts w:ascii="Century Gothic" w:hAnsi="Century Gothic" w:cs="Arial"/>
                <w:sz w:val="22"/>
                <w:szCs w:val="22"/>
              </w:rPr>
              <w:t>: Based on an assessment of Cigna's historical paid claims for the service across its commercial book of business, the average unit cost of the service must exceed five hundred dollars ($500), unless either:</w:t>
            </w:r>
          </w:p>
          <w:p w14:paraId="1A3FF1FC" w14:textId="77777777" w:rsidR="00EB78C2" w:rsidRPr="00D61E32" w:rsidRDefault="00EB78C2" w:rsidP="00EB78C2">
            <w:pPr>
              <w:pStyle w:val="BodyText"/>
              <w:widowControl w:val="0"/>
              <w:numPr>
                <w:ilvl w:val="1"/>
                <w:numId w:val="41"/>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The service is an unlisted or non-specific code where the unit cost may vary from far less than $500 to far more than $500; or</w:t>
            </w:r>
          </w:p>
          <w:p w14:paraId="22331EED" w14:textId="77777777" w:rsidR="00EB78C2" w:rsidRPr="00D61E32" w:rsidRDefault="00EB78C2" w:rsidP="00EB78C2">
            <w:pPr>
              <w:pStyle w:val="BodyText"/>
              <w:widowControl w:val="0"/>
              <w:numPr>
                <w:ilvl w:val="1"/>
                <w:numId w:val="41"/>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 xml:space="preserve">The service is associated with serial use where the cumulative average use of the services may be represented by a single prior authorization and therefore exceed the dollar threshold. </w:t>
            </w:r>
          </w:p>
          <w:p w14:paraId="1E361D6D" w14:textId="77777777" w:rsidR="00EB78C2" w:rsidRPr="00D61E32" w:rsidRDefault="00EB78C2">
            <w:pPr>
              <w:pStyle w:val="BodyText"/>
              <w:widowControl w:val="0"/>
              <w:autoSpaceDE w:val="0"/>
              <w:autoSpaceDN w:val="0"/>
              <w:spacing w:before="2" w:after="0" w:line="256" w:lineRule="auto"/>
              <w:ind w:left="1440"/>
              <w:rPr>
                <w:rFonts w:ascii="Century Gothic" w:hAnsi="Century Gothic" w:cs="Arial"/>
                <w:sz w:val="22"/>
                <w:szCs w:val="22"/>
              </w:rPr>
            </w:pPr>
          </w:p>
          <w:p w14:paraId="1D13A256" w14:textId="77777777" w:rsidR="00EB78C2" w:rsidRPr="00D61E32" w:rsidRDefault="00EB78C2" w:rsidP="00EB78C2">
            <w:pPr>
              <w:pStyle w:val="BodyText"/>
              <w:widowControl w:val="0"/>
              <w:numPr>
                <w:ilvl w:val="0"/>
                <w:numId w:val="41"/>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 xml:space="preserve">Performing coverage reviews for a service is projected to meet or exceed a certain return on investment ratio.  </w:t>
            </w:r>
          </w:p>
          <w:p w14:paraId="15477883" w14:textId="77777777" w:rsidR="00EB78C2" w:rsidRPr="00D61E32" w:rsidRDefault="00EB78C2">
            <w:pPr>
              <w:pStyle w:val="BodyText"/>
              <w:widowControl w:val="0"/>
              <w:autoSpaceDE w:val="0"/>
              <w:autoSpaceDN w:val="0"/>
              <w:spacing w:before="2" w:after="0" w:line="256" w:lineRule="auto"/>
              <w:ind w:left="720"/>
              <w:rPr>
                <w:rFonts w:ascii="Century Gothic" w:hAnsi="Century Gothic" w:cs="Arial"/>
                <w:sz w:val="22"/>
                <w:szCs w:val="22"/>
              </w:rPr>
            </w:pPr>
            <w:r w:rsidRPr="00D61E32">
              <w:rPr>
                <w:rFonts w:ascii="Century Gothic" w:hAnsi="Century Gothic" w:cs="Arial"/>
                <w:sz w:val="22"/>
                <w:szCs w:val="22"/>
                <w:u w:val="single"/>
              </w:rPr>
              <w:t>Evidentiary Standard</w:t>
            </w:r>
            <w:r w:rsidRPr="00D61E32">
              <w:rPr>
                <w:rFonts w:ascii="Century Gothic" w:hAnsi="Century Gothic" w:cs="Arial"/>
                <w:sz w:val="22"/>
                <w:szCs w:val="22"/>
              </w:rPr>
              <w:t>: The ROI ratio is calculated using the following formula:</w:t>
            </w:r>
          </w:p>
          <w:p w14:paraId="71E70710" w14:textId="77777777" w:rsidR="00EB78C2" w:rsidRPr="00D61E32" w:rsidRDefault="00EB78C2" w:rsidP="00EB78C2">
            <w:pPr>
              <w:pStyle w:val="BodyText"/>
              <w:widowControl w:val="0"/>
              <w:numPr>
                <w:ilvl w:val="1"/>
                <w:numId w:val="23"/>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 xml:space="preserve">The actual or anticipated denial rate of the service multiplied by the average unit cost (or, as applicable, cumulative cost) of the service, with the resulting figure divided by the estimated cost to review the total number of services. </w:t>
            </w:r>
          </w:p>
          <w:p w14:paraId="6F4AC45B" w14:textId="5F78F383" w:rsidR="00EB78C2" w:rsidRPr="00E70A33" w:rsidRDefault="00EB78C2" w:rsidP="00E70A33">
            <w:pPr>
              <w:pStyle w:val="BodyText"/>
              <w:widowControl w:val="0"/>
              <w:numPr>
                <w:ilvl w:val="1"/>
                <w:numId w:val="23"/>
              </w:numPr>
              <w:autoSpaceDE w:val="0"/>
              <w:autoSpaceDN w:val="0"/>
              <w:spacing w:before="2" w:after="0" w:line="256" w:lineRule="auto"/>
              <w:rPr>
                <w:rFonts w:ascii="Century Gothic" w:hAnsi="Century Gothic" w:cs="Arial"/>
                <w:sz w:val="22"/>
                <w:szCs w:val="22"/>
              </w:rPr>
            </w:pPr>
            <w:r w:rsidRPr="00D61E32">
              <w:rPr>
                <w:rFonts w:ascii="Century Gothic" w:hAnsi="Century Gothic" w:cs="Arial"/>
                <w:sz w:val="22"/>
                <w:szCs w:val="22"/>
              </w:rPr>
              <w:t>For services for which Cigna maintains historic claims data, Cigna calculates the denial rate by reference to the actual denial rate as reflected in the historic book-of-business claims data it maintains.  The average unit cost of the service is calculated based on Cigna's historical paid claims for the service across its commercial book of business.  The estimated cost to perform a coverage review is $100 per review, which is informed by costs/expenses such as personnel salaries and time.</w:t>
            </w:r>
          </w:p>
          <w:p w14:paraId="34280783" w14:textId="3E22E50C" w:rsidR="00EB78C2" w:rsidRPr="00E70A33" w:rsidRDefault="00EB78C2">
            <w:pPr>
              <w:pStyle w:val="BodyText"/>
              <w:widowControl w:val="0"/>
              <w:autoSpaceDE w:val="0"/>
              <w:autoSpaceDN w:val="0"/>
              <w:spacing w:before="2" w:after="0" w:line="256" w:lineRule="auto"/>
              <w:rPr>
                <w:rFonts w:ascii="Century Gothic" w:hAnsi="Century Gothic" w:cs="Arial"/>
                <w:sz w:val="22"/>
                <w:szCs w:val="22"/>
                <w:u w:val="single"/>
              </w:rPr>
            </w:pPr>
            <w:r w:rsidRPr="00D61E32">
              <w:rPr>
                <w:rFonts w:ascii="Century Gothic" w:hAnsi="Century Gothic" w:cs="Arial"/>
                <w:sz w:val="22"/>
                <w:szCs w:val="22"/>
                <w:u w:val="single"/>
              </w:rPr>
              <w:t xml:space="preserve">Sources: </w:t>
            </w:r>
          </w:p>
          <w:p w14:paraId="7EB4EA7A" w14:textId="77777777" w:rsidR="00EB78C2" w:rsidRPr="00D61E32" w:rsidRDefault="00EB78C2">
            <w:pPr>
              <w:pStyle w:val="BodyText"/>
              <w:spacing w:before="2" w:line="256" w:lineRule="auto"/>
              <w:rPr>
                <w:rFonts w:ascii="Century Gothic" w:hAnsi="Century Gothic" w:cs="Arial"/>
                <w:bCs/>
                <w:iCs/>
                <w:sz w:val="22"/>
                <w:szCs w:val="22"/>
                <w:lang w:bidi="en-US"/>
              </w:rPr>
            </w:pPr>
            <w:r w:rsidRPr="00D61E32">
              <w:rPr>
                <w:rFonts w:ascii="Century Gothic" w:hAnsi="Century Gothic" w:cs="Arial"/>
                <w:bCs/>
                <w:iCs/>
                <w:sz w:val="22"/>
                <w:szCs w:val="22"/>
                <w:lang w:bidi="en-US"/>
              </w:rPr>
              <w:t xml:space="preserve">When developing coverage criteria to evaluate the medical necessity of services, Cigna's Coverage Policy Unit (CPU), in partnership with Cigna's Medical Technology Assessment Committee, conducts evidence-based assessments of the medical literature and other sources of information pertaining to the safety and effectiveness of medical and behavioral health services, therapies, procedures, devices, technologies and pharmaceuticals. The Medical Technology Assessment Committee’s evidence-based medicine approach ranks the categories of evidence and assigns greater weight to categories with higher levels of scientific evidence as set forth below in Cigna’s “Levels of Scientific Evidence Table” adapted from the Centre for Evidence Based Medicine, University of Oxford: </w:t>
            </w:r>
          </w:p>
          <w:p w14:paraId="7D944BDE" w14:textId="77777777" w:rsidR="00EB78C2" w:rsidRPr="00D61E32" w:rsidRDefault="00EB78C2" w:rsidP="00EB78C2">
            <w:pPr>
              <w:pStyle w:val="BodyText"/>
              <w:numPr>
                <w:ilvl w:val="0"/>
                <w:numId w:val="44"/>
              </w:numPr>
              <w:spacing w:before="2" w:line="256" w:lineRule="auto"/>
              <w:rPr>
                <w:rFonts w:ascii="Century Gothic" w:hAnsi="Century Gothic" w:cs="Arial"/>
                <w:bCs/>
                <w:iCs/>
                <w:sz w:val="22"/>
                <w:szCs w:val="22"/>
                <w:lang w:bidi="en-US"/>
              </w:rPr>
            </w:pPr>
            <w:r w:rsidRPr="00D61E32">
              <w:rPr>
                <w:rFonts w:ascii="Century Gothic" w:hAnsi="Century Gothic" w:cs="Arial"/>
                <w:bCs/>
                <w:iCs/>
                <w:sz w:val="22"/>
                <w:szCs w:val="22"/>
                <w:lang w:bidi="en-US"/>
              </w:rPr>
              <w:t xml:space="preserve">Level 1: Randomized Controlled Trials (RCT). Randomized, blinded, placebo-controlled, clinical trials and systematic reviews of RCTs and meta-analysis of RCTs. </w:t>
            </w:r>
          </w:p>
          <w:p w14:paraId="3D2F8619" w14:textId="77777777" w:rsidR="00EB78C2" w:rsidRPr="00D61E32" w:rsidRDefault="00EB78C2" w:rsidP="00EB78C2">
            <w:pPr>
              <w:pStyle w:val="BodyText"/>
              <w:numPr>
                <w:ilvl w:val="0"/>
                <w:numId w:val="44"/>
              </w:numPr>
              <w:spacing w:before="2" w:line="256" w:lineRule="auto"/>
              <w:rPr>
                <w:rFonts w:ascii="Century Gothic" w:hAnsi="Century Gothic" w:cs="Arial"/>
                <w:bCs/>
                <w:iCs/>
                <w:sz w:val="22"/>
                <w:szCs w:val="22"/>
                <w:lang w:bidi="en-US"/>
              </w:rPr>
            </w:pPr>
            <w:r w:rsidRPr="00D61E32">
              <w:rPr>
                <w:rFonts w:ascii="Century Gothic" w:hAnsi="Century Gothic" w:cs="Arial"/>
                <w:bCs/>
                <w:iCs/>
                <w:sz w:val="22"/>
                <w:szCs w:val="22"/>
                <w:lang w:bidi="en-US"/>
              </w:rPr>
              <w:t xml:space="preserve">Level 2: Non-randomized controlled trials (an experimental study, but not an ideal design). </w:t>
            </w:r>
            <w:proofErr w:type="gramStart"/>
            <w:r w:rsidRPr="00D61E32">
              <w:rPr>
                <w:rFonts w:ascii="Century Gothic" w:hAnsi="Century Gothic" w:cs="Arial"/>
                <w:bCs/>
                <w:iCs/>
                <w:sz w:val="22"/>
                <w:szCs w:val="22"/>
                <w:lang w:bidi="en-US"/>
              </w:rPr>
              <w:t>Also</w:t>
            </w:r>
            <w:proofErr w:type="gramEnd"/>
            <w:r w:rsidRPr="00D61E32">
              <w:rPr>
                <w:rFonts w:ascii="Century Gothic" w:hAnsi="Century Gothic" w:cs="Arial"/>
                <w:bCs/>
                <w:iCs/>
                <w:sz w:val="22"/>
                <w:szCs w:val="22"/>
                <w:lang w:bidi="en-US"/>
              </w:rPr>
              <w:t xml:space="preserve"> systematic reviews and meta-analyses of non-randomized controlled trials. </w:t>
            </w:r>
          </w:p>
          <w:p w14:paraId="6338500F" w14:textId="77777777" w:rsidR="00EB78C2" w:rsidRPr="00D61E32" w:rsidRDefault="00EB78C2" w:rsidP="00EB78C2">
            <w:pPr>
              <w:pStyle w:val="BodyText"/>
              <w:numPr>
                <w:ilvl w:val="0"/>
                <w:numId w:val="44"/>
              </w:numPr>
              <w:spacing w:before="2" w:line="256" w:lineRule="auto"/>
              <w:rPr>
                <w:rFonts w:ascii="Century Gothic" w:hAnsi="Century Gothic" w:cs="Arial"/>
                <w:bCs/>
                <w:iCs/>
                <w:sz w:val="22"/>
                <w:szCs w:val="22"/>
                <w:lang w:bidi="en-US"/>
              </w:rPr>
            </w:pPr>
            <w:r w:rsidRPr="00D61E32">
              <w:rPr>
                <w:rFonts w:ascii="Century Gothic" w:hAnsi="Century Gothic" w:cs="Arial"/>
                <w:bCs/>
                <w:iCs/>
                <w:sz w:val="22"/>
                <w:szCs w:val="22"/>
                <w:lang w:bidi="en-US"/>
              </w:rPr>
              <w:t xml:space="preserve">Level 3: Observational studies – e.g. cohort, case-control studies (non-experimental studies). </w:t>
            </w:r>
            <w:proofErr w:type="gramStart"/>
            <w:r w:rsidRPr="00D61E32">
              <w:rPr>
                <w:rFonts w:ascii="Century Gothic" w:hAnsi="Century Gothic" w:cs="Arial"/>
                <w:bCs/>
                <w:iCs/>
                <w:sz w:val="22"/>
                <w:szCs w:val="22"/>
                <w:lang w:bidi="en-US"/>
              </w:rPr>
              <w:t>Also</w:t>
            </w:r>
            <w:proofErr w:type="gramEnd"/>
            <w:r w:rsidRPr="00D61E32">
              <w:rPr>
                <w:rFonts w:ascii="Century Gothic" w:hAnsi="Century Gothic" w:cs="Arial"/>
                <w:bCs/>
                <w:iCs/>
                <w:sz w:val="22"/>
                <w:szCs w:val="22"/>
                <w:lang w:bidi="en-US"/>
              </w:rPr>
              <w:t xml:space="preserve"> systematic reviews and meta-analyses of observational studies. </w:t>
            </w:r>
          </w:p>
          <w:p w14:paraId="02644DA2" w14:textId="77777777" w:rsidR="00EB78C2" w:rsidRPr="00D61E32" w:rsidRDefault="00EB78C2" w:rsidP="00EB78C2">
            <w:pPr>
              <w:pStyle w:val="BodyText"/>
              <w:numPr>
                <w:ilvl w:val="0"/>
                <w:numId w:val="44"/>
              </w:numPr>
              <w:spacing w:before="2" w:line="256" w:lineRule="auto"/>
              <w:rPr>
                <w:rFonts w:ascii="Century Gothic" w:hAnsi="Century Gothic" w:cs="Arial"/>
                <w:bCs/>
                <w:iCs/>
                <w:sz w:val="22"/>
                <w:szCs w:val="22"/>
                <w:lang w:bidi="en-US"/>
              </w:rPr>
            </w:pPr>
            <w:r w:rsidRPr="00D61E32">
              <w:rPr>
                <w:rFonts w:ascii="Century Gothic" w:hAnsi="Century Gothic" w:cs="Arial"/>
                <w:bCs/>
                <w:iCs/>
                <w:sz w:val="22"/>
                <w:szCs w:val="22"/>
                <w:lang w:bidi="en-US"/>
              </w:rPr>
              <w:t xml:space="preserve">Level 4: Descriptive studies, case reports, case series, panel studies (non-experimental studies), and retrospective analyses of any kind. </w:t>
            </w:r>
            <w:proofErr w:type="gramStart"/>
            <w:r w:rsidRPr="00D61E32">
              <w:rPr>
                <w:rFonts w:ascii="Century Gothic" w:hAnsi="Century Gothic" w:cs="Arial"/>
                <w:bCs/>
                <w:iCs/>
                <w:sz w:val="22"/>
                <w:szCs w:val="22"/>
                <w:lang w:bidi="en-US"/>
              </w:rPr>
              <w:t>Also</w:t>
            </w:r>
            <w:proofErr w:type="gramEnd"/>
            <w:r w:rsidRPr="00D61E32">
              <w:rPr>
                <w:rFonts w:ascii="Century Gothic" w:hAnsi="Century Gothic" w:cs="Arial"/>
                <w:bCs/>
                <w:iCs/>
                <w:sz w:val="22"/>
                <w:szCs w:val="22"/>
                <w:lang w:bidi="en-US"/>
              </w:rPr>
              <w:t xml:space="preserve"> systematic reviews and meta-analyses of retrospective studies. </w:t>
            </w:r>
          </w:p>
          <w:p w14:paraId="5D02EED5" w14:textId="77777777" w:rsidR="00EB78C2" w:rsidRPr="00D61E32" w:rsidRDefault="00EB78C2" w:rsidP="00EB78C2">
            <w:pPr>
              <w:pStyle w:val="BodyText"/>
              <w:numPr>
                <w:ilvl w:val="0"/>
                <w:numId w:val="44"/>
              </w:numPr>
              <w:spacing w:before="2" w:line="256" w:lineRule="auto"/>
              <w:rPr>
                <w:rFonts w:ascii="Century Gothic" w:hAnsi="Century Gothic" w:cs="Arial"/>
                <w:bCs/>
                <w:iCs/>
                <w:sz w:val="22"/>
                <w:szCs w:val="22"/>
                <w:lang w:bidi="en-US"/>
              </w:rPr>
            </w:pPr>
            <w:r w:rsidRPr="00D61E32">
              <w:rPr>
                <w:rFonts w:ascii="Century Gothic" w:hAnsi="Century Gothic" w:cs="Arial"/>
                <w:bCs/>
                <w:iCs/>
                <w:sz w:val="22"/>
                <w:szCs w:val="22"/>
                <w:lang w:bidi="en-US"/>
              </w:rPr>
              <w:t>Level 5: Professional/organizational recommendations when based upon a valid evidence-based assessment of the available literature.</w:t>
            </w:r>
          </w:p>
          <w:p w14:paraId="3121485F" w14:textId="77777777" w:rsidR="00EB78C2" w:rsidRPr="00D61E32" w:rsidRDefault="00EB78C2">
            <w:pPr>
              <w:pStyle w:val="BodyText"/>
              <w:spacing w:before="2" w:line="256" w:lineRule="auto"/>
              <w:rPr>
                <w:rFonts w:ascii="Century Gothic" w:hAnsi="Century Gothic" w:cs="Arial"/>
                <w:sz w:val="22"/>
                <w:szCs w:val="22"/>
              </w:rPr>
            </w:pPr>
            <w:r w:rsidRPr="00D61E32">
              <w:rPr>
                <w:rFonts w:ascii="Century Gothic" w:hAnsi="Century Gothic" w:cs="Arial"/>
                <w:sz w:val="22"/>
                <w:szCs w:val="22"/>
              </w:rPr>
              <w:t xml:space="preserve">"Clinical evidence" as referenced above includes publications from professional societies that include nationally recognized specialists in the appropriate field (e.g., American College of Obstetricians and Gynecologists); guidance published by appropriate Government Regulatory Agencies (e.g., CMS, FDA, NIH); and other original research studies, publish in the English language, peer reviewed, published, evidence-based scientific studies or literature. </w:t>
            </w:r>
          </w:p>
          <w:p w14:paraId="1B7A4877" w14:textId="20446377" w:rsidR="00EB78C2" w:rsidRPr="00D61E32" w:rsidRDefault="00EB78C2" w:rsidP="00E70A33">
            <w:pPr>
              <w:pStyle w:val="BodyText"/>
              <w:spacing w:before="2" w:line="256" w:lineRule="auto"/>
              <w:rPr>
                <w:rFonts w:ascii="Century Gothic" w:hAnsi="Century Gothic" w:cs="Arial"/>
                <w:sz w:val="22"/>
                <w:szCs w:val="22"/>
              </w:rPr>
            </w:pPr>
            <w:r w:rsidRPr="00D61E32">
              <w:rPr>
                <w:rFonts w:ascii="Century Gothic" w:hAnsi="Century Gothic" w:cs="Arial"/>
                <w:sz w:val="22"/>
                <w:szCs w:val="22"/>
              </w:rPr>
              <w:t>Notably, the above-stated standards used to apply the factors described in Step 2 may not in each case be associated with a specific quantitative threshold at which the NQTL is triggered, as not every factor lends itself to simply quantitative assessment.  Rather, the quantitative factors mentioned above in each case requires subject matter experts like clinicians to qualitatively assess publications that do not define the factors relied on by Cigna to design its NQTLs in a numerical threshold or formula.  By contrast, the quantitative factors that Cigna considers when deciding whether to apply authorization to MH/SUD and M/S benefits are defined by reference to specific thresholds at which the factor is met</w:t>
            </w:r>
            <w:r w:rsidR="00E70A33">
              <w:rPr>
                <w:rFonts w:ascii="Century Gothic" w:hAnsi="Century Gothic" w:cs="Arial"/>
                <w:sz w:val="22"/>
                <w:szCs w:val="22"/>
              </w:rPr>
              <w:t>.</w:t>
            </w:r>
          </w:p>
          <w:p w14:paraId="12853FCE" w14:textId="7AA88792"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B. Factors for determining whether to remove RR: </w:t>
            </w:r>
          </w:p>
          <w:p w14:paraId="1CED7790" w14:textId="77777777" w:rsidR="00EB78C2" w:rsidRPr="00D61E32" w:rsidRDefault="00EB78C2" w:rsidP="00EB78C2">
            <w:pPr>
              <w:pStyle w:val="ListParagraph"/>
              <w:numPr>
                <w:ilvl w:val="0"/>
                <w:numId w:val="22"/>
              </w:numPr>
              <w:spacing w:after="0" w:line="240" w:lineRule="auto"/>
              <w:rPr>
                <w:rFonts w:ascii="Century Gothic" w:hAnsi="Century Gothic" w:cs="Arial"/>
              </w:rPr>
            </w:pPr>
            <w:r w:rsidRPr="00D61E32">
              <w:rPr>
                <w:rFonts w:ascii="Century Gothic" w:hAnsi="Century Gothic" w:cs="Arial"/>
              </w:rPr>
              <w:t xml:space="preserve">Factor 1: Return on </w:t>
            </w:r>
            <w:proofErr w:type="gramStart"/>
            <w:r w:rsidRPr="00D61E32">
              <w:rPr>
                <w:rFonts w:ascii="Century Gothic" w:hAnsi="Century Gothic" w:cs="Arial"/>
              </w:rPr>
              <w:t>investment</w:t>
            </w:r>
            <w:proofErr w:type="gramEnd"/>
          </w:p>
          <w:p w14:paraId="5D108BDA" w14:textId="77777777" w:rsidR="00EB78C2" w:rsidRPr="00D61E32" w:rsidRDefault="00EB78C2" w:rsidP="00EB78C2">
            <w:pPr>
              <w:pStyle w:val="ListParagraph"/>
              <w:numPr>
                <w:ilvl w:val="1"/>
                <w:numId w:val="21"/>
              </w:numPr>
              <w:spacing w:after="0" w:line="240" w:lineRule="auto"/>
              <w:rPr>
                <w:rFonts w:ascii="Century Gothic" w:hAnsi="Century Gothic" w:cs="Arial"/>
              </w:rPr>
            </w:pPr>
            <w:r w:rsidRPr="00D61E32">
              <w:rPr>
                <w:rFonts w:ascii="Century Gothic" w:hAnsi="Century Gothic" w:cs="Arial"/>
              </w:rPr>
              <w:t>Evidentiary Standard: ROI&lt;1 is required to remove a benefit from the RR list. ROI of a specific service type is calculated as follows:</w:t>
            </w:r>
          </w:p>
          <w:p w14:paraId="5ED22168" w14:textId="77777777" w:rsidR="00EB78C2" w:rsidRPr="00D61E32" w:rsidRDefault="00EB78C2"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Wellfleet (through its Chief Medical Officer and Finance Department) determines the annual savings from authorization by adding up all approved charges for a specific service type using the initial ICD-10 code (to identify M/S vs. MH/SUD) and &amp; specified CPT codes (to identify a specific service type) that were requested but denied and not overturned on </w:t>
            </w:r>
            <w:proofErr w:type="gramStart"/>
            <w:r w:rsidRPr="00D61E32">
              <w:rPr>
                <w:rFonts w:ascii="Century Gothic" w:hAnsi="Century Gothic" w:cs="Arial"/>
              </w:rPr>
              <w:t>appeal</w:t>
            </w:r>
            <w:proofErr w:type="gramEnd"/>
          </w:p>
          <w:p w14:paraId="3E586C3F" w14:textId="77777777" w:rsidR="00EB78C2" w:rsidRPr="00D61E32" w:rsidRDefault="00EB78C2"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Then, Wellfleet determines the annual cost of authorization for a specified service type as follows:</w:t>
            </w:r>
          </w:p>
          <w:p w14:paraId="613D8214" w14:textId="77777777" w:rsidR="00EB78C2" w:rsidRPr="00D61E32" w:rsidRDefault="00EB78C2"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For each month of the year, Wellfleet multiplies Cigna’s per member per month charge for retrospective review of the specified service type, times the number of members in all the plans delegated to Cigna for utilization review that month.</w:t>
            </w:r>
          </w:p>
          <w:p w14:paraId="0FB42743" w14:textId="77777777" w:rsidR="00EB78C2" w:rsidRPr="00D61E32" w:rsidRDefault="00EB78C2"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Wellfleet adds the costs above for all twelve (12) months together to yield the total annual cost of authorization of that specified service </w:t>
            </w:r>
            <w:proofErr w:type="gramStart"/>
            <w:r w:rsidRPr="00D61E32">
              <w:rPr>
                <w:rFonts w:ascii="Century Gothic" w:hAnsi="Century Gothic" w:cs="Arial"/>
              </w:rPr>
              <w:t>type</w:t>
            </w:r>
            <w:proofErr w:type="gramEnd"/>
          </w:p>
          <w:p w14:paraId="0D5301B2" w14:textId="77777777" w:rsidR="00EB78C2" w:rsidRPr="00D61E32" w:rsidRDefault="00EB78C2"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Wellfleet determines the ROI of a specified service type by dividing the total annual savings by the total annual costs for that specified service type.</w:t>
            </w:r>
          </w:p>
          <w:p w14:paraId="4474C0A9" w14:textId="77777777" w:rsidR="00EB78C2" w:rsidRPr="00D61E32" w:rsidRDefault="00EB78C2" w:rsidP="00EB78C2">
            <w:pPr>
              <w:pStyle w:val="ListParagraph"/>
              <w:numPr>
                <w:ilvl w:val="1"/>
                <w:numId w:val="21"/>
              </w:numPr>
              <w:spacing w:after="0" w:line="240" w:lineRule="auto"/>
              <w:ind w:left="1782"/>
              <w:rPr>
                <w:rFonts w:ascii="Century Gothic" w:hAnsi="Century Gothic" w:cs="Arial"/>
              </w:rPr>
            </w:pPr>
            <w:r w:rsidRPr="00D61E32">
              <w:rPr>
                <w:rFonts w:ascii="Century Gothic" w:hAnsi="Century Gothic" w:cs="Arial"/>
              </w:rPr>
              <w:t xml:space="preserve">If ROI is &lt; 1, retrospective review will be removed from the </w:t>
            </w:r>
            <w:proofErr w:type="gramStart"/>
            <w:r w:rsidRPr="00D61E32">
              <w:rPr>
                <w:rFonts w:ascii="Century Gothic" w:hAnsi="Century Gothic" w:cs="Arial"/>
              </w:rPr>
              <w:t>service</w:t>
            </w:r>
            <w:proofErr w:type="gramEnd"/>
            <w:r w:rsidRPr="00D61E32">
              <w:rPr>
                <w:rFonts w:ascii="Century Gothic" w:hAnsi="Century Gothic" w:cs="Arial"/>
              </w:rPr>
              <w:t xml:space="preserve"> </w:t>
            </w:r>
          </w:p>
          <w:p w14:paraId="4E0FF9AC" w14:textId="77777777" w:rsidR="00EB78C2" w:rsidRPr="00D61E32" w:rsidRDefault="00EB78C2"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Source: </w:t>
            </w:r>
          </w:p>
          <w:p w14:paraId="55EA1300" w14:textId="77777777" w:rsidR="00EB78C2" w:rsidRPr="00D61E32" w:rsidRDefault="00EB78C2" w:rsidP="00E70A33">
            <w:pPr>
              <w:pStyle w:val="ListParagraph"/>
              <w:spacing w:after="0" w:line="240" w:lineRule="auto"/>
              <w:rPr>
                <w:rFonts w:ascii="Century Gothic" w:hAnsi="Century Gothic" w:cs="Arial"/>
              </w:rPr>
            </w:pPr>
            <w:r w:rsidRPr="00D61E32">
              <w:rPr>
                <w:rFonts w:ascii="Century Gothic" w:hAnsi="Century Gothic" w:cs="Arial"/>
              </w:rPr>
              <w:t>Wellfleet claims data</w:t>
            </w:r>
          </w:p>
          <w:p w14:paraId="49C3BF6E" w14:textId="0793CCAF" w:rsidR="00EB78C2" w:rsidRPr="00D61E32" w:rsidRDefault="00EB78C2" w:rsidP="00E70A33">
            <w:pPr>
              <w:pStyle w:val="ListParagraph"/>
              <w:spacing w:after="0" w:line="240" w:lineRule="auto"/>
              <w:rPr>
                <w:rFonts w:ascii="Century Gothic" w:hAnsi="Century Gothic" w:cs="Arial"/>
              </w:rPr>
            </w:pPr>
            <w:r w:rsidRPr="00D61E32">
              <w:rPr>
                <w:rFonts w:ascii="Century Gothic" w:hAnsi="Century Gothic" w:cs="Arial"/>
              </w:rPr>
              <w:t xml:space="preserve">Charges by delegated Review Organization to perform Retrospective Review on add-on </w:t>
            </w:r>
            <w:proofErr w:type="gramStart"/>
            <w:r w:rsidRPr="00D61E32">
              <w:rPr>
                <w:rFonts w:ascii="Century Gothic" w:hAnsi="Century Gothic" w:cs="Arial"/>
              </w:rPr>
              <w:t>services</w:t>
            </w:r>
            <w:proofErr w:type="gramEnd"/>
          </w:p>
          <w:p w14:paraId="7593C7EF" w14:textId="77777777" w:rsidR="00EB78C2" w:rsidRPr="00D61E32" w:rsidRDefault="00EB78C2" w:rsidP="00EB78C2">
            <w:pPr>
              <w:pStyle w:val="ListParagraph"/>
              <w:numPr>
                <w:ilvl w:val="0"/>
                <w:numId w:val="21"/>
              </w:numPr>
              <w:spacing w:after="0" w:line="240" w:lineRule="auto"/>
              <w:rPr>
                <w:rFonts w:ascii="Century Gothic" w:hAnsi="Century Gothic" w:cs="Arial"/>
              </w:rPr>
            </w:pPr>
            <w:r w:rsidRPr="00D61E32">
              <w:rPr>
                <w:rFonts w:ascii="Century Gothic" w:hAnsi="Century Gothic" w:cs="Arial"/>
              </w:rPr>
              <w:t xml:space="preserve">Factor 2: School (client) preference [Note: this factor is only used to remove Retrospective Review from MH/SUD </w:t>
            </w:r>
            <w:proofErr w:type="gramStart"/>
            <w:r w:rsidRPr="00D61E32">
              <w:rPr>
                <w:rFonts w:ascii="Century Gothic" w:hAnsi="Century Gothic" w:cs="Arial"/>
              </w:rPr>
              <w:t>benefits, and</w:t>
            </w:r>
            <w:proofErr w:type="gramEnd"/>
            <w:r w:rsidRPr="00D61E32">
              <w:rPr>
                <w:rFonts w:ascii="Century Gothic" w:hAnsi="Century Gothic" w:cs="Arial"/>
              </w:rPr>
              <w:t xml:space="preserve"> is never used to apply RR to MH/SUD benefits, thus this factor only serves to make MH/SUD benefits more accessible to members by potentially eliminating RR from certain MH/SUD services]. </w:t>
            </w:r>
          </w:p>
          <w:p w14:paraId="416A0805" w14:textId="77777777" w:rsidR="00EB78C2" w:rsidRPr="00D61E32" w:rsidRDefault="00EB78C2" w:rsidP="00EB78C2">
            <w:pPr>
              <w:pStyle w:val="ListParagraph"/>
              <w:numPr>
                <w:ilvl w:val="1"/>
                <w:numId w:val="21"/>
              </w:numPr>
              <w:spacing w:after="0" w:line="240" w:lineRule="auto"/>
              <w:rPr>
                <w:rFonts w:ascii="Century Gothic" w:hAnsi="Century Gothic" w:cs="Arial"/>
              </w:rPr>
            </w:pPr>
            <w:r w:rsidRPr="00D61E32">
              <w:rPr>
                <w:rFonts w:ascii="Century Gothic" w:hAnsi="Century Gothic" w:cs="Arial"/>
              </w:rPr>
              <w:t xml:space="preserve">Evidentiary Standard:  RR will be removed if the school (client) states that they do not want a certain benefit to be subject to RR and: </w:t>
            </w:r>
          </w:p>
          <w:p w14:paraId="1BC28CBF" w14:textId="77777777" w:rsidR="00EB78C2" w:rsidRPr="00D61E32" w:rsidRDefault="00EB78C2" w:rsidP="00EB78C2">
            <w:pPr>
              <w:pStyle w:val="ListParagraph"/>
              <w:numPr>
                <w:ilvl w:val="2"/>
                <w:numId w:val="21"/>
              </w:numPr>
              <w:spacing w:after="0" w:line="240" w:lineRule="auto"/>
              <w:rPr>
                <w:rFonts w:ascii="Century Gothic" w:hAnsi="Century Gothic" w:cs="Arial"/>
              </w:rPr>
            </w:pPr>
            <w:r w:rsidRPr="00D61E32">
              <w:rPr>
                <w:rFonts w:ascii="Century Gothic" w:hAnsi="Century Gothic" w:cs="Arial"/>
              </w:rPr>
              <w:t>(a) that preference is negotiated as part of the sales process, or</w:t>
            </w:r>
          </w:p>
          <w:p w14:paraId="119E4891" w14:textId="77777777" w:rsidR="00EB78C2" w:rsidRPr="00D61E32" w:rsidRDefault="00EB78C2">
            <w:pPr>
              <w:ind w:left="2136"/>
              <w:rPr>
                <w:rFonts w:ascii="Century Gothic" w:hAnsi="Century Gothic" w:cs="Arial"/>
              </w:rPr>
            </w:pPr>
            <w:r w:rsidRPr="00D61E32">
              <w:rPr>
                <w:rFonts w:ascii="Century Gothic" w:hAnsi="Century Gothic" w:cs="Arial"/>
              </w:rPr>
              <w:t xml:space="preserve">(b) that preference is provided in writing in an independent decision by the school (client) </w:t>
            </w:r>
            <w:proofErr w:type="gramStart"/>
            <w:r w:rsidRPr="00D61E32">
              <w:rPr>
                <w:rFonts w:ascii="Century Gothic" w:hAnsi="Century Gothic" w:cs="Arial"/>
              </w:rPr>
              <w:t>at a later date</w:t>
            </w:r>
            <w:proofErr w:type="gramEnd"/>
            <w:r w:rsidRPr="00D61E32">
              <w:rPr>
                <w:rFonts w:ascii="Century Gothic" w:hAnsi="Century Gothic" w:cs="Arial"/>
              </w:rPr>
              <w:t xml:space="preserve">. </w:t>
            </w:r>
          </w:p>
          <w:p w14:paraId="7BDB61E3" w14:textId="1A749F2D" w:rsidR="00EB78C2" w:rsidRPr="00E70A33" w:rsidRDefault="00EB78C2" w:rsidP="00E70A33">
            <w:pPr>
              <w:pStyle w:val="ListParagraph"/>
              <w:numPr>
                <w:ilvl w:val="0"/>
                <w:numId w:val="21"/>
              </w:numPr>
              <w:spacing w:after="0" w:line="240" w:lineRule="auto"/>
              <w:rPr>
                <w:rFonts w:ascii="Century Gothic" w:hAnsi="Century Gothic" w:cs="Arial"/>
              </w:rPr>
            </w:pPr>
            <w:r w:rsidRPr="00D61E32">
              <w:rPr>
                <w:rFonts w:ascii="Century Gothic" w:hAnsi="Century Gothic" w:cs="Arial"/>
              </w:rPr>
              <w:t>Source: School (client) decision to remove a benefit from the list*</w:t>
            </w:r>
          </w:p>
          <w:p w14:paraId="6B0D75B4" w14:textId="53AB97B0" w:rsidR="00EB78C2" w:rsidRPr="00E70A33" w:rsidRDefault="00EB78C2" w:rsidP="00E70A33">
            <w:pPr>
              <w:ind w:left="156"/>
              <w:rPr>
                <w:rFonts w:ascii="Century Gothic" w:hAnsi="Century Gothic" w:cs="Arial"/>
              </w:rPr>
            </w:pPr>
            <w:r w:rsidRPr="00D61E32">
              <w:rPr>
                <w:rFonts w:ascii="Century Gothic" w:hAnsi="Century Gothic" w:cs="Arial"/>
              </w:rPr>
              <w:t xml:space="preserve">*Plans reviewed by Cigna have no Retrospective Review for any outpatient MH/SUD benefit as the ROI for Retrospective Review by Cigna of all outpatient MH/SUD services is &lt;1. </w:t>
            </w:r>
          </w:p>
        </w:tc>
        <w:tc>
          <w:tcPr>
            <w:tcW w:w="2500" w:type="pct"/>
            <w:tcBorders>
              <w:top w:val="single" w:sz="4" w:space="0" w:color="auto"/>
              <w:left w:val="single" w:sz="4" w:space="0" w:color="auto"/>
              <w:bottom w:val="single" w:sz="4" w:space="0" w:color="auto"/>
              <w:right w:val="single" w:sz="4" w:space="0" w:color="auto"/>
            </w:tcBorders>
          </w:tcPr>
          <w:p w14:paraId="2B9FF849" w14:textId="205E1FE3" w:rsidR="00EB78C2" w:rsidRPr="00D61E32" w:rsidRDefault="00EB78C2">
            <w:pPr>
              <w:rPr>
                <w:rFonts w:ascii="Century Gothic" w:eastAsia="Times New Roman" w:hAnsi="Century Gothic" w:cs="Arial"/>
              </w:rPr>
            </w:pPr>
            <w:r w:rsidRPr="00D61E32">
              <w:rPr>
                <w:rFonts w:ascii="Century Gothic" w:eastAsia="Times New Roman" w:hAnsi="Century Gothic" w:cs="Arial"/>
                <w:b/>
              </w:rPr>
              <w:t>MH/SUD</w:t>
            </w:r>
            <w:r w:rsidRPr="00D61E32">
              <w:rPr>
                <w:rFonts w:ascii="Century Gothic" w:eastAsia="Times New Roman" w:hAnsi="Century Gothic" w:cs="Arial"/>
              </w:rPr>
              <w:t>:</w:t>
            </w:r>
          </w:p>
          <w:p w14:paraId="5BAC4944" w14:textId="034D4407"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A. Factors for determining whether to apply RR: </w:t>
            </w:r>
          </w:p>
          <w:p w14:paraId="7B83AC29"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Same as M/S</w:t>
            </w:r>
          </w:p>
          <w:p w14:paraId="0570A7C5" w14:textId="77777777" w:rsidR="00EB78C2" w:rsidRPr="00D61E32" w:rsidRDefault="00EB78C2">
            <w:pPr>
              <w:rPr>
                <w:rFonts w:ascii="Century Gothic" w:eastAsia="Times New Roman" w:hAnsi="Century Gothic" w:cs="Arial"/>
              </w:rPr>
            </w:pPr>
          </w:p>
          <w:p w14:paraId="4DE0E23E" w14:textId="77777777" w:rsidR="00EB78C2" w:rsidRPr="00D61E32" w:rsidRDefault="00EB78C2">
            <w:pPr>
              <w:rPr>
                <w:rFonts w:ascii="Century Gothic" w:eastAsia="Times New Roman" w:hAnsi="Century Gothic" w:cs="Arial"/>
              </w:rPr>
            </w:pPr>
          </w:p>
          <w:p w14:paraId="47544EC6" w14:textId="77777777" w:rsidR="00EB78C2" w:rsidRPr="00D61E32" w:rsidRDefault="00EB78C2">
            <w:pPr>
              <w:rPr>
                <w:rFonts w:ascii="Century Gothic" w:eastAsia="Times New Roman" w:hAnsi="Century Gothic" w:cs="Arial"/>
              </w:rPr>
            </w:pPr>
          </w:p>
          <w:p w14:paraId="085ECB23" w14:textId="77777777" w:rsidR="00EB78C2" w:rsidRPr="00D61E32" w:rsidRDefault="00EB78C2">
            <w:pPr>
              <w:rPr>
                <w:rFonts w:ascii="Century Gothic" w:eastAsia="Times New Roman" w:hAnsi="Century Gothic" w:cs="Arial"/>
              </w:rPr>
            </w:pPr>
          </w:p>
          <w:p w14:paraId="37A3C2F3" w14:textId="77777777" w:rsidR="00EB78C2" w:rsidRPr="00D61E32" w:rsidRDefault="00EB78C2">
            <w:pPr>
              <w:rPr>
                <w:rFonts w:ascii="Century Gothic" w:eastAsia="Times New Roman" w:hAnsi="Century Gothic" w:cs="Arial"/>
              </w:rPr>
            </w:pPr>
          </w:p>
          <w:p w14:paraId="207AB7D3" w14:textId="77777777" w:rsidR="00EB78C2" w:rsidRPr="00D61E32" w:rsidRDefault="00EB78C2">
            <w:pPr>
              <w:rPr>
                <w:rFonts w:ascii="Century Gothic" w:eastAsia="Times New Roman" w:hAnsi="Century Gothic" w:cs="Arial"/>
              </w:rPr>
            </w:pPr>
          </w:p>
          <w:p w14:paraId="1EEAE170" w14:textId="77777777" w:rsidR="00EB78C2" w:rsidRPr="00D61E32" w:rsidRDefault="00EB78C2">
            <w:pPr>
              <w:rPr>
                <w:rFonts w:ascii="Century Gothic" w:eastAsia="Times New Roman" w:hAnsi="Century Gothic" w:cs="Arial"/>
              </w:rPr>
            </w:pPr>
          </w:p>
          <w:p w14:paraId="33D7399D" w14:textId="77777777" w:rsidR="00EB78C2" w:rsidRPr="00D61E32" w:rsidRDefault="00EB78C2">
            <w:pPr>
              <w:rPr>
                <w:rFonts w:ascii="Century Gothic" w:eastAsia="Times New Roman" w:hAnsi="Century Gothic" w:cs="Arial"/>
              </w:rPr>
            </w:pPr>
          </w:p>
          <w:p w14:paraId="62CA1127" w14:textId="77777777" w:rsidR="00EB78C2" w:rsidRPr="00D61E32" w:rsidRDefault="00EB78C2">
            <w:pPr>
              <w:rPr>
                <w:rFonts w:ascii="Century Gothic" w:eastAsia="Times New Roman" w:hAnsi="Century Gothic" w:cs="Arial"/>
              </w:rPr>
            </w:pPr>
          </w:p>
          <w:p w14:paraId="7D00EC31" w14:textId="77777777" w:rsidR="00EB78C2" w:rsidRPr="00D61E32" w:rsidRDefault="00EB78C2">
            <w:pPr>
              <w:rPr>
                <w:rFonts w:ascii="Century Gothic" w:eastAsia="Times New Roman" w:hAnsi="Century Gothic" w:cs="Arial"/>
              </w:rPr>
            </w:pPr>
          </w:p>
          <w:p w14:paraId="27720AA4" w14:textId="77777777" w:rsidR="00EB78C2" w:rsidRPr="00D61E32" w:rsidRDefault="00EB78C2">
            <w:pPr>
              <w:rPr>
                <w:rFonts w:ascii="Century Gothic" w:eastAsia="Times New Roman" w:hAnsi="Century Gothic" w:cs="Arial"/>
              </w:rPr>
            </w:pPr>
          </w:p>
          <w:p w14:paraId="5D0EEC59" w14:textId="77777777" w:rsidR="00EB78C2" w:rsidRPr="00D61E32" w:rsidRDefault="00EB78C2">
            <w:pPr>
              <w:rPr>
                <w:rFonts w:ascii="Century Gothic" w:eastAsia="Times New Roman" w:hAnsi="Century Gothic" w:cs="Arial"/>
              </w:rPr>
            </w:pPr>
          </w:p>
          <w:p w14:paraId="208E0A12" w14:textId="77777777" w:rsidR="00EB78C2" w:rsidRPr="00D61E32" w:rsidRDefault="00EB78C2">
            <w:pPr>
              <w:rPr>
                <w:rFonts w:ascii="Century Gothic" w:eastAsia="Times New Roman" w:hAnsi="Century Gothic" w:cs="Arial"/>
              </w:rPr>
            </w:pPr>
          </w:p>
          <w:p w14:paraId="0425120F" w14:textId="77777777" w:rsidR="00EB78C2" w:rsidRPr="00D61E32" w:rsidRDefault="00EB78C2">
            <w:pPr>
              <w:rPr>
                <w:rFonts w:ascii="Century Gothic" w:eastAsia="Times New Roman" w:hAnsi="Century Gothic" w:cs="Arial"/>
              </w:rPr>
            </w:pPr>
          </w:p>
          <w:p w14:paraId="1D3281CC" w14:textId="77777777" w:rsidR="00EB78C2" w:rsidRPr="00D61E32" w:rsidRDefault="00EB78C2">
            <w:pPr>
              <w:rPr>
                <w:rFonts w:ascii="Century Gothic" w:eastAsia="Times New Roman" w:hAnsi="Century Gothic" w:cs="Arial"/>
              </w:rPr>
            </w:pPr>
          </w:p>
          <w:p w14:paraId="35AA395D" w14:textId="77777777" w:rsidR="00EB78C2" w:rsidRPr="00D61E32" w:rsidRDefault="00EB78C2">
            <w:pPr>
              <w:rPr>
                <w:rFonts w:ascii="Century Gothic" w:eastAsia="Times New Roman" w:hAnsi="Century Gothic" w:cs="Arial"/>
              </w:rPr>
            </w:pPr>
          </w:p>
          <w:p w14:paraId="5E677ED9" w14:textId="77777777" w:rsidR="00EB78C2" w:rsidRPr="00D61E32" w:rsidRDefault="00EB78C2">
            <w:pPr>
              <w:rPr>
                <w:rFonts w:ascii="Century Gothic" w:eastAsia="Times New Roman" w:hAnsi="Century Gothic" w:cs="Arial"/>
              </w:rPr>
            </w:pPr>
          </w:p>
          <w:p w14:paraId="437A3169" w14:textId="77777777" w:rsidR="00EB78C2" w:rsidRPr="00D61E32" w:rsidRDefault="00EB78C2">
            <w:pPr>
              <w:rPr>
                <w:rFonts w:ascii="Century Gothic" w:eastAsia="Times New Roman" w:hAnsi="Century Gothic" w:cs="Arial"/>
              </w:rPr>
            </w:pPr>
          </w:p>
          <w:p w14:paraId="41C6562C" w14:textId="77777777" w:rsidR="00EB78C2" w:rsidRPr="00D61E32" w:rsidRDefault="00EB78C2">
            <w:pPr>
              <w:rPr>
                <w:rFonts w:ascii="Century Gothic" w:eastAsia="Times New Roman" w:hAnsi="Century Gothic" w:cs="Arial"/>
              </w:rPr>
            </w:pPr>
          </w:p>
          <w:p w14:paraId="70E4A555" w14:textId="77777777" w:rsidR="00EB78C2" w:rsidRPr="00D61E32" w:rsidRDefault="00EB78C2">
            <w:pPr>
              <w:rPr>
                <w:rFonts w:ascii="Century Gothic" w:eastAsia="Times New Roman" w:hAnsi="Century Gothic" w:cs="Arial"/>
              </w:rPr>
            </w:pPr>
          </w:p>
          <w:p w14:paraId="0EA7956F" w14:textId="77777777" w:rsidR="00EB78C2" w:rsidRPr="00D61E32" w:rsidRDefault="00EB78C2">
            <w:pPr>
              <w:rPr>
                <w:rFonts w:ascii="Century Gothic" w:eastAsia="Times New Roman" w:hAnsi="Century Gothic" w:cs="Arial"/>
              </w:rPr>
            </w:pPr>
          </w:p>
          <w:p w14:paraId="4E1C7800" w14:textId="77777777" w:rsidR="00EB78C2" w:rsidRPr="00D61E32" w:rsidRDefault="00EB78C2">
            <w:pPr>
              <w:rPr>
                <w:rFonts w:ascii="Century Gothic" w:eastAsia="Times New Roman" w:hAnsi="Century Gothic" w:cs="Arial"/>
              </w:rPr>
            </w:pPr>
          </w:p>
          <w:p w14:paraId="35346614" w14:textId="77777777" w:rsidR="00EB78C2" w:rsidRPr="00D61E32" w:rsidRDefault="00EB78C2">
            <w:pPr>
              <w:rPr>
                <w:rFonts w:ascii="Century Gothic" w:eastAsia="Times New Roman" w:hAnsi="Century Gothic" w:cs="Arial"/>
              </w:rPr>
            </w:pPr>
          </w:p>
          <w:p w14:paraId="363CCB15" w14:textId="77777777" w:rsidR="00EB78C2" w:rsidRPr="00D61E32" w:rsidRDefault="00EB78C2">
            <w:pPr>
              <w:rPr>
                <w:rFonts w:ascii="Century Gothic" w:eastAsia="Times New Roman" w:hAnsi="Century Gothic" w:cs="Arial"/>
              </w:rPr>
            </w:pPr>
          </w:p>
          <w:p w14:paraId="5547B8D9" w14:textId="77777777" w:rsidR="00EB78C2" w:rsidRPr="00D61E32" w:rsidRDefault="00EB78C2">
            <w:pPr>
              <w:rPr>
                <w:rFonts w:ascii="Century Gothic" w:eastAsia="Times New Roman" w:hAnsi="Century Gothic" w:cs="Arial"/>
              </w:rPr>
            </w:pPr>
          </w:p>
          <w:p w14:paraId="3B8B3CF7" w14:textId="77777777" w:rsidR="00EB78C2" w:rsidRPr="00D61E32" w:rsidRDefault="00EB78C2">
            <w:pPr>
              <w:rPr>
                <w:rFonts w:ascii="Century Gothic" w:eastAsia="Times New Roman" w:hAnsi="Century Gothic" w:cs="Arial"/>
              </w:rPr>
            </w:pPr>
          </w:p>
          <w:p w14:paraId="67AEAB4A" w14:textId="77777777" w:rsidR="00EB78C2" w:rsidRPr="00D61E32" w:rsidRDefault="00EB78C2">
            <w:pPr>
              <w:rPr>
                <w:rFonts w:ascii="Century Gothic" w:eastAsia="Times New Roman" w:hAnsi="Century Gothic" w:cs="Arial"/>
              </w:rPr>
            </w:pPr>
          </w:p>
          <w:p w14:paraId="32EE34BD" w14:textId="77777777" w:rsidR="00EB78C2" w:rsidRPr="00D61E32" w:rsidRDefault="00EB78C2">
            <w:pPr>
              <w:rPr>
                <w:rFonts w:ascii="Century Gothic" w:eastAsia="Times New Roman" w:hAnsi="Century Gothic" w:cs="Arial"/>
              </w:rPr>
            </w:pPr>
          </w:p>
          <w:p w14:paraId="7769FDFD" w14:textId="77777777" w:rsidR="00EB78C2" w:rsidRPr="00D61E32" w:rsidRDefault="00EB78C2">
            <w:pPr>
              <w:rPr>
                <w:rFonts w:ascii="Century Gothic" w:eastAsia="Times New Roman" w:hAnsi="Century Gothic" w:cs="Arial"/>
              </w:rPr>
            </w:pPr>
          </w:p>
          <w:p w14:paraId="3841D01E" w14:textId="77777777" w:rsidR="00EB78C2" w:rsidRPr="00D61E32" w:rsidRDefault="00EB78C2">
            <w:pPr>
              <w:rPr>
                <w:rFonts w:ascii="Century Gothic" w:eastAsia="Times New Roman" w:hAnsi="Century Gothic" w:cs="Arial"/>
              </w:rPr>
            </w:pPr>
          </w:p>
          <w:p w14:paraId="4FD9D674" w14:textId="77777777" w:rsidR="00EB78C2" w:rsidRPr="00D61E32" w:rsidRDefault="00EB78C2">
            <w:pPr>
              <w:rPr>
                <w:rFonts w:ascii="Century Gothic" w:eastAsia="Times New Roman" w:hAnsi="Century Gothic" w:cs="Arial"/>
              </w:rPr>
            </w:pPr>
          </w:p>
          <w:p w14:paraId="73050BE2" w14:textId="77777777" w:rsidR="00EB78C2" w:rsidRPr="00D61E32" w:rsidRDefault="00EB78C2">
            <w:pPr>
              <w:rPr>
                <w:rFonts w:ascii="Century Gothic" w:eastAsia="Times New Roman" w:hAnsi="Century Gothic" w:cs="Arial"/>
              </w:rPr>
            </w:pPr>
          </w:p>
          <w:p w14:paraId="23A5E4F3" w14:textId="77777777" w:rsidR="00EB78C2" w:rsidRPr="00D61E32" w:rsidRDefault="00EB78C2">
            <w:pPr>
              <w:rPr>
                <w:rFonts w:ascii="Century Gothic" w:eastAsia="Times New Roman" w:hAnsi="Century Gothic" w:cs="Arial"/>
              </w:rPr>
            </w:pPr>
          </w:p>
          <w:p w14:paraId="2E4CFDE5" w14:textId="77777777" w:rsidR="00EB78C2" w:rsidRPr="00D61E32" w:rsidRDefault="00EB78C2">
            <w:pPr>
              <w:rPr>
                <w:rFonts w:ascii="Century Gothic" w:eastAsia="Times New Roman" w:hAnsi="Century Gothic" w:cs="Arial"/>
              </w:rPr>
            </w:pPr>
          </w:p>
          <w:p w14:paraId="5AB4F5D5" w14:textId="77777777" w:rsidR="00EB78C2" w:rsidRPr="00D61E32" w:rsidRDefault="00EB78C2">
            <w:pPr>
              <w:rPr>
                <w:rFonts w:ascii="Century Gothic" w:eastAsia="Times New Roman" w:hAnsi="Century Gothic" w:cs="Arial"/>
              </w:rPr>
            </w:pPr>
          </w:p>
          <w:p w14:paraId="6B47DCB2" w14:textId="77777777" w:rsidR="00EB78C2" w:rsidRPr="00D61E32" w:rsidRDefault="00EB78C2">
            <w:pPr>
              <w:rPr>
                <w:rFonts w:ascii="Century Gothic" w:eastAsia="Times New Roman" w:hAnsi="Century Gothic" w:cs="Arial"/>
              </w:rPr>
            </w:pPr>
          </w:p>
          <w:p w14:paraId="3EEA7D38" w14:textId="77777777" w:rsidR="00EB78C2" w:rsidRPr="00D61E32" w:rsidRDefault="00EB78C2">
            <w:pPr>
              <w:rPr>
                <w:rFonts w:ascii="Century Gothic" w:eastAsia="Times New Roman" w:hAnsi="Century Gothic" w:cs="Arial"/>
              </w:rPr>
            </w:pPr>
          </w:p>
          <w:p w14:paraId="44D29E31" w14:textId="77777777" w:rsidR="00EB78C2" w:rsidRPr="00D61E32" w:rsidRDefault="00EB78C2">
            <w:pPr>
              <w:rPr>
                <w:rFonts w:ascii="Century Gothic" w:eastAsia="Times New Roman" w:hAnsi="Century Gothic" w:cs="Arial"/>
              </w:rPr>
            </w:pPr>
          </w:p>
          <w:p w14:paraId="5F0B9743" w14:textId="77777777" w:rsidR="00EB78C2" w:rsidRPr="00D61E32" w:rsidRDefault="00EB78C2">
            <w:pPr>
              <w:rPr>
                <w:rFonts w:ascii="Century Gothic" w:eastAsia="Times New Roman" w:hAnsi="Century Gothic" w:cs="Arial"/>
              </w:rPr>
            </w:pPr>
          </w:p>
          <w:p w14:paraId="5AB6E0E5" w14:textId="77777777" w:rsidR="00EB78C2" w:rsidRPr="00D61E32" w:rsidRDefault="00EB78C2">
            <w:pPr>
              <w:rPr>
                <w:rFonts w:ascii="Century Gothic" w:eastAsia="Times New Roman" w:hAnsi="Century Gothic" w:cs="Arial"/>
              </w:rPr>
            </w:pPr>
          </w:p>
          <w:p w14:paraId="34DE9F30" w14:textId="77777777" w:rsidR="00EB78C2" w:rsidRPr="00D61E32" w:rsidRDefault="00EB78C2">
            <w:pPr>
              <w:rPr>
                <w:rFonts w:ascii="Century Gothic" w:eastAsia="Times New Roman" w:hAnsi="Century Gothic" w:cs="Arial"/>
              </w:rPr>
            </w:pPr>
          </w:p>
          <w:p w14:paraId="5B8DC0CA" w14:textId="77777777" w:rsidR="00EB78C2" w:rsidRPr="00D61E32" w:rsidRDefault="00EB78C2">
            <w:pPr>
              <w:rPr>
                <w:rFonts w:ascii="Century Gothic" w:eastAsia="Times New Roman" w:hAnsi="Century Gothic" w:cs="Arial"/>
              </w:rPr>
            </w:pPr>
          </w:p>
          <w:p w14:paraId="6829E2BE" w14:textId="77777777" w:rsidR="00EB78C2" w:rsidRPr="00D61E32" w:rsidRDefault="00EB78C2">
            <w:pPr>
              <w:rPr>
                <w:rFonts w:ascii="Century Gothic" w:eastAsia="Times New Roman" w:hAnsi="Century Gothic" w:cs="Arial"/>
              </w:rPr>
            </w:pPr>
          </w:p>
          <w:p w14:paraId="29EC794D" w14:textId="77777777" w:rsidR="00EB78C2" w:rsidRPr="00D61E32" w:rsidRDefault="00EB78C2">
            <w:pPr>
              <w:rPr>
                <w:rFonts w:ascii="Century Gothic" w:eastAsia="Times New Roman" w:hAnsi="Century Gothic" w:cs="Arial"/>
              </w:rPr>
            </w:pPr>
          </w:p>
          <w:p w14:paraId="6FF6567C" w14:textId="77777777" w:rsidR="00EB78C2" w:rsidRPr="00D61E32" w:rsidRDefault="00EB78C2">
            <w:pPr>
              <w:rPr>
                <w:rFonts w:ascii="Century Gothic" w:eastAsia="Times New Roman" w:hAnsi="Century Gothic" w:cs="Arial"/>
              </w:rPr>
            </w:pPr>
          </w:p>
          <w:p w14:paraId="5860D93E" w14:textId="77777777" w:rsidR="00EB78C2" w:rsidRPr="00D61E32" w:rsidRDefault="00EB78C2">
            <w:pPr>
              <w:rPr>
                <w:rFonts w:ascii="Century Gothic" w:eastAsia="Times New Roman" w:hAnsi="Century Gothic" w:cs="Arial"/>
              </w:rPr>
            </w:pPr>
          </w:p>
          <w:p w14:paraId="167B05A7" w14:textId="77777777" w:rsidR="00EB78C2" w:rsidRPr="00D61E32" w:rsidRDefault="00EB78C2">
            <w:pPr>
              <w:rPr>
                <w:rFonts w:ascii="Century Gothic" w:eastAsia="Times New Roman" w:hAnsi="Century Gothic" w:cs="Arial"/>
              </w:rPr>
            </w:pPr>
          </w:p>
          <w:p w14:paraId="0894A140" w14:textId="77777777" w:rsidR="00EB78C2" w:rsidRPr="00D61E32" w:rsidRDefault="00EB78C2">
            <w:pPr>
              <w:rPr>
                <w:rFonts w:ascii="Century Gothic" w:eastAsia="Times New Roman" w:hAnsi="Century Gothic" w:cs="Arial"/>
              </w:rPr>
            </w:pPr>
          </w:p>
          <w:p w14:paraId="48FAD5F6" w14:textId="77777777" w:rsidR="00EB78C2" w:rsidRPr="00D61E32" w:rsidRDefault="00EB78C2">
            <w:pPr>
              <w:rPr>
                <w:rFonts w:ascii="Century Gothic" w:eastAsia="Times New Roman" w:hAnsi="Century Gothic" w:cs="Arial"/>
              </w:rPr>
            </w:pPr>
          </w:p>
          <w:p w14:paraId="59EF23AB" w14:textId="77777777" w:rsidR="00EB78C2" w:rsidRPr="00D61E32" w:rsidRDefault="00EB78C2">
            <w:pPr>
              <w:rPr>
                <w:rFonts w:ascii="Century Gothic" w:eastAsia="Times New Roman" w:hAnsi="Century Gothic" w:cs="Arial"/>
              </w:rPr>
            </w:pPr>
          </w:p>
          <w:p w14:paraId="46384724" w14:textId="77777777" w:rsidR="00EB78C2" w:rsidRPr="00D61E32" w:rsidRDefault="00EB78C2">
            <w:pPr>
              <w:rPr>
                <w:rFonts w:ascii="Century Gothic" w:eastAsia="Times New Roman" w:hAnsi="Century Gothic" w:cs="Arial"/>
              </w:rPr>
            </w:pPr>
          </w:p>
          <w:p w14:paraId="780DF8C1" w14:textId="77777777" w:rsidR="00EB78C2" w:rsidRPr="00D61E32" w:rsidRDefault="00EB78C2">
            <w:pPr>
              <w:rPr>
                <w:rFonts w:ascii="Century Gothic" w:eastAsia="Times New Roman" w:hAnsi="Century Gothic" w:cs="Arial"/>
              </w:rPr>
            </w:pPr>
          </w:p>
          <w:p w14:paraId="4B0D0BA9" w14:textId="77777777" w:rsidR="00EB78C2" w:rsidRPr="00D61E32" w:rsidRDefault="00EB78C2">
            <w:pPr>
              <w:rPr>
                <w:rFonts w:ascii="Century Gothic" w:eastAsia="Times New Roman" w:hAnsi="Century Gothic" w:cs="Arial"/>
              </w:rPr>
            </w:pPr>
          </w:p>
          <w:p w14:paraId="4E851C80" w14:textId="77777777" w:rsidR="00EB78C2" w:rsidRPr="00D61E32" w:rsidRDefault="00EB78C2">
            <w:pPr>
              <w:rPr>
                <w:rFonts w:ascii="Century Gothic" w:eastAsia="Times New Roman" w:hAnsi="Century Gothic" w:cs="Arial"/>
              </w:rPr>
            </w:pPr>
          </w:p>
          <w:p w14:paraId="63A326A0" w14:textId="77777777" w:rsidR="00EB78C2" w:rsidRPr="00D61E32" w:rsidRDefault="00EB78C2">
            <w:pPr>
              <w:rPr>
                <w:rFonts w:ascii="Century Gothic" w:eastAsia="Times New Roman" w:hAnsi="Century Gothic" w:cs="Arial"/>
              </w:rPr>
            </w:pPr>
          </w:p>
          <w:p w14:paraId="050DB6F3" w14:textId="77777777" w:rsidR="00EB78C2" w:rsidRPr="00D61E32" w:rsidRDefault="00EB78C2">
            <w:pPr>
              <w:rPr>
                <w:rFonts w:ascii="Century Gothic" w:eastAsia="Times New Roman" w:hAnsi="Century Gothic" w:cs="Arial"/>
              </w:rPr>
            </w:pPr>
          </w:p>
          <w:p w14:paraId="7A302E30" w14:textId="77777777" w:rsidR="00EB78C2" w:rsidRPr="00D61E32" w:rsidRDefault="00EB78C2">
            <w:pPr>
              <w:rPr>
                <w:rFonts w:ascii="Century Gothic" w:eastAsia="Times New Roman" w:hAnsi="Century Gothic" w:cs="Arial"/>
              </w:rPr>
            </w:pPr>
          </w:p>
          <w:p w14:paraId="2568E432" w14:textId="77777777" w:rsidR="00EB78C2" w:rsidRPr="00D61E32" w:rsidRDefault="00EB78C2">
            <w:pPr>
              <w:rPr>
                <w:rFonts w:ascii="Century Gothic" w:eastAsia="Times New Roman" w:hAnsi="Century Gothic" w:cs="Arial"/>
              </w:rPr>
            </w:pPr>
          </w:p>
          <w:p w14:paraId="44071646" w14:textId="77777777" w:rsidR="00EB78C2" w:rsidRPr="00D61E32" w:rsidRDefault="00EB78C2">
            <w:pPr>
              <w:rPr>
                <w:rFonts w:ascii="Century Gothic" w:eastAsia="Times New Roman" w:hAnsi="Century Gothic" w:cs="Arial"/>
              </w:rPr>
            </w:pPr>
          </w:p>
          <w:p w14:paraId="5EEE598A" w14:textId="77777777" w:rsidR="00EB78C2" w:rsidRPr="00D61E32" w:rsidRDefault="00EB78C2">
            <w:pPr>
              <w:rPr>
                <w:rFonts w:ascii="Century Gothic" w:eastAsia="Times New Roman" w:hAnsi="Century Gothic" w:cs="Arial"/>
              </w:rPr>
            </w:pPr>
          </w:p>
          <w:p w14:paraId="78EDE25D" w14:textId="77777777" w:rsidR="00EB78C2" w:rsidRPr="00D61E32" w:rsidRDefault="00EB78C2">
            <w:pPr>
              <w:rPr>
                <w:rFonts w:ascii="Century Gothic" w:eastAsia="Times New Roman" w:hAnsi="Century Gothic" w:cs="Arial"/>
              </w:rPr>
            </w:pPr>
          </w:p>
          <w:p w14:paraId="591204D1" w14:textId="77777777" w:rsidR="00EB78C2" w:rsidRPr="00D61E32" w:rsidRDefault="00EB78C2">
            <w:pPr>
              <w:rPr>
                <w:rFonts w:ascii="Century Gothic" w:eastAsia="Times New Roman" w:hAnsi="Century Gothic" w:cs="Arial"/>
              </w:rPr>
            </w:pPr>
          </w:p>
          <w:p w14:paraId="234FA9A8" w14:textId="77777777" w:rsidR="00EB78C2" w:rsidRPr="00D61E32" w:rsidRDefault="00EB78C2">
            <w:pPr>
              <w:rPr>
                <w:rFonts w:ascii="Century Gothic" w:eastAsia="Times New Roman" w:hAnsi="Century Gothic" w:cs="Arial"/>
              </w:rPr>
            </w:pPr>
          </w:p>
          <w:p w14:paraId="422C62CE" w14:textId="77777777" w:rsidR="00EB78C2" w:rsidRPr="00D61E32" w:rsidRDefault="00EB78C2">
            <w:pPr>
              <w:rPr>
                <w:rFonts w:ascii="Century Gothic" w:eastAsia="Times New Roman" w:hAnsi="Century Gothic" w:cs="Arial"/>
              </w:rPr>
            </w:pPr>
          </w:p>
          <w:p w14:paraId="3BD74B55" w14:textId="77777777" w:rsidR="00EB78C2" w:rsidRPr="00D61E32" w:rsidRDefault="00EB78C2">
            <w:pPr>
              <w:rPr>
                <w:rFonts w:ascii="Century Gothic" w:eastAsia="Times New Roman" w:hAnsi="Century Gothic" w:cs="Arial"/>
              </w:rPr>
            </w:pPr>
          </w:p>
          <w:p w14:paraId="4D71D531" w14:textId="77777777" w:rsidR="00EB78C2" w:rsidRPr="00D61E32" w:rsidRDefault="00EB78C2">
            <w:pPr>
              <w:rPr>
                <w:rFonts w:ascii="Century Gothic" w:eastAsia="Times New Roman" w:hAnsi="Century Gothic" w:cs="Arial"/>
              </w:rPr>
            </w:pPr>
          </w:p>
          <w:p w14:paraId="230CA66C" w14:textId="77777777" w:rsidR="00EB78C2" w:rsidRPr="00D61E32" w:rsidRDefault="00EB78C2">
            <w:pPr>
              <w:rPr>
                <w:rFonts w:ascii="Century Gothic" w:eastAsia="Times New Roman" w:hAnsi="Century Gothic" w:cs="Arial"/>
              </w:rPr>
            </w:pPr>
          </w:p>
          <w:p w14:paraId="37594D1C" w14:textId="77777777" w:rsidR="00EB78C2" w:rsidRPr="00D61E32" w:rsidRDefault="00EB78C2">
            <w:pPr>
              <w:rPr>
                <w:rFonts w:ascii="Century Gothic" w:eastAsia="Times New Roman" w:hAnsi="Century Gothic" w:cs="Arial"/>
              </w:rPr>
            </w:pPr>
          </w:p>
          <w:p w14:paraId="77EFF6C5" w14:textId="77777777" w:rsidR="00EB78C2" w:rsidRPr="00D61E32" w:rsidRDefault="00EB78C2">
            <w:pPr>
              <w:rPr>
                <w:rFonts w:ascii="Century Gothic" w:eastAsia="Times New Roman" w:hAnsi="Century Gothic" w:cs="Arial"/>
              </w:rPr>
            </w:pPr>
          </w:p>
          <w:p w14:paraId="4BDAEE55" w14:textId="77777777" w:rsidR="00EB78C2" w:rsidRPr="00D61E32" w:rsidRDefault="00EB78C2">
            <w:pPr>
              <w:rPr>
                <w:rFonts w:ascii="Century Gothic" w:eastAsia="Times New Roman" w:hAnsi="Century Gothic" w:cs="Arial"/>
              </w:rPr>
            </w:pPr>
          </w:p>
          <w:p w14:paraId="28F61C01" w14:textId="77777777" w:rsidR="00EB78C2" w:rsidRPr="00D61E32" w:rsidRDefault="00EB78C2">
            <w:pPr>
              <w:rPr>
                <w:rFonts w:ascii="Century Gothic" w:eastAsia="Times New Roman" w:hAnsi="Century Gothic" w:cs="Arial"/>
              </w:rPr>
            </w:pPr>
          </w:p>
          <w:p w14:paraId="049D2623" w14:textId="77777777" w:rsidR="00EB78C2" w:rsidRPr="00D61E32" w:rsidRDefault="00EB78C2">
            <w:pPr>
              <w:rPr>
                <w:rFonts w:ascii="Century Gothic" w:eastAsia="Times New Roman" w:hAnsi="Century Gothic" w:cs="Arial"/>
              </w:rPr>
            </w:pPr>
          </w:p>
          <w:p w14:paraId="1BCCC30A" w14:textId="77777777" w:rsidR="00EB78C2" w:rsidRPr="00D61E32" w:rsidRDefault="00EB78C2">
            <w:pPr>
              <w:rPr>
                <w:rFonts w:ascii="Century Gothic" w:eastAsia="Times New Roman" w:hAnsi="Century Gothic" w:cs="Arial"/>
              </w:rPr>
            </w:pPr>
          </w:p>
          <w:p w14:paraId="19632490" w14:textId="77777777" w:rsidR="00EB78C2" w:rsidRPr="00D61E32" w:rsidRDefault="00EB78C2">
            <w:pPr>
              <w:rPr>
                <w:rFonts w:ascii="Century Gothic" w:eastAsia="Times New Roman" w:hAnsi="Century Gothic" w:cs="Arial"/>
              </w:rPr>
            </w:pPr>
          </w:p>
          <w:p w14:paraId="0B7E5832" w14:textId="77777777" w:rsidR="00EB78C2" w:rsidRPr="00D61E32" w:rsidRDefault="00EB78C2">
            <w:pPr>
              <w:rPr>
                <w:rFonts w:ascii="Century Gothic" w:eastAsia="Times New Roman" w:hAnsi="Century Gothic" w:cs="Arial"/>
              </w:rPr>
            </w:pPr>
          </w:p>
          <w:p w14:paraId="090A2C44" w14:textId="77777777" w:rsidR="00EB78C2" w:rsidRPr="00D61E32" w:rsidRDefault="00EB78C2">
            <w:pPr>
              <w:rPr>
                <w:rFonts w:ascii="Century Gothic" w:eastAsia="Times New Roman" w:hAnsi="Century Gothic" w:cs="Arial"/>
              </w:rPr>
            </w:pPr>
          </w:p>
          <w:p w14:paraId="6650E5B9" w14:textId="77777777" w:rsidR="00EB78C2" w:rsidRPr="00D61E32" w:rsidRDefault="00EB78C2">
            <w:pPr>
              <w:rPr>
                <w:rFonts w:ascii="Century Gothic" w:eastAsia="Times New Roman" w:hAnsi="Century Gothic" w:cs="Arial"/>
              </w:rPr>
            </w:pPr>
          </w:p>
          <w:p w14:paraId="4889CCD0" w14:textId="77777777" w:rsidR="00EB78C2" w:rsidRPr="00D61E32" w:rsidRDefault="00EB78C2">
            <w:pPr>
              <w:rPr>
                <w:rFonts w:ascii="Century Gothic" w:eastAsia="Times New Roman" w:hAnsi="Century Gothic" w:cs="Arial"/>
              </w:rPr>
            </w:pPr>
          </w:p>
          <w:p w14:paraId="698322E6" w14:textId="77777777" w:rsidR="00EB78C2" w:rsidRPr="00D61E32" w:rsidRDefault="00EB78C2">
            <w:pPr>
              <w:rPr>
                <w:rFonts w:ascii="Century Gothic" w:eastAsia="Times New Roman" w:hAnsi="Century Gothic" w:cs="Arial"/>
              </w:rPr>
            </w:pPr>
          </w:p>
          <w:p w14:paraId="66DEBB80" w14:textId="77777777" w:rsidR="00EB78C2" w:rsidRPr="00D61E32" w:rsidRDefault="00EB78C2">
            <w:pPr>
              <w:rPr>
                <w:rFonts w:ascii="Century Gothic" w:eastAsia="Times New Roman" w:hAnsi="Century Gothic" w:cs="Arial"/>
              </w:rPr>
            </w:pPr>
          </w:p>
          <w:p w14:paraId="09CC1790" w14:textId="77777777" w:rsidR="00EB78C2" w:rsidRPr="00D61E32" w:rsidRDefault="00EB78C2">
            <w:pPr>
              <w:rPr>
                <w:rFonts w:ascii="Century Gothic" w:eastAsia="Times New Roman" w:hAnsi="Century Gothic" w:cs="Arial"/>
              </w:rPr>
            </w:pPr>
          </w:p>
          <w:p w14:paraId="75B09EAA" w14:textId="77777777" w:rsidR="00EB78C2" w:rsidRPr="00D61E32" w:rsidRDefault="00EB78C2">
            <w:pPr>
              <w:rPr>
                <w:rFonts w:ascii="Century Gothic" w:eastAsia="Times New Roman" w:hAnsi="Century Gothic" w:cs="Arial"/>
              </w:rPr>
            </w:pPr>
          </w:p>
          <w:p w14:paraId="13C3D82C" w14:textId="77777777" w:rsidR="00EB78C2" w:rsidRPr="00D61E32" w:rsidRDefault="00EB78C2">
            <w:pPr>
              <w:rPr>
                <w:rFonts w:ascii="Century Gothic" w:eastAsia="Times New Roman" w:hAnsi="Century Gothic" w:cs="Arial"/>
              </w:rPr>
            </w:pPr>
          </w:p>
          <w:p w14:paraId="5B48BF90" w14:textId="77777777" w:rsidR="00EB78C2" w:rsidRPr="00D61E32" w:rsidRDefault="00EB78C2">
            <w:pPr>
              <w:rPr>
                <w:rFonts w:ascii="Century Gothic" w:eastAsia="Times New Roman" w:hAnsi="Century Gothic" w:cs="Arial"/>
              </w:rPr>
            </w:pPr>
          </w:p>
          <w:p w14:paraId="10E9DE44" w14:textId="77777777" w:rsidR="00EB78C2" w:rsidRPr="00D61E32" w:rsidRDefault="00EB78C2">
            <w:pPr>
              <w:rPr>
                <w:rFonts w:ascii="Century Gothic" w:eastAsia="Times New Roman" w:hAnsi="Century Gothic" w:cs="Arial"/>
              </w:rPr>
            </w:pPr>
          </w:p>
          <w:p w14:paraId="7700A034" w14:textId="77777777" w:rsidR="00EB78C2" w:rsidRPr="00D61E32" w:rsidRDefault="00EB78C2">
            <w:pPr>
              <w:rPr>
                <w:rFonts w:ascii="Century Gothic" w:eastAsia="Times New Roman" w:hAnsi="Century Gothic" w:cs="Arial"/>
              </w:rPr>
            </w:pPr>
          </w:p>
          <w:p w14:paraId="6E0EF25C" w14:textId="77777777" w:rsidR="00EB78C2" w:rsidRPr="00D61E32" w:rsidRDefault="00EB78C2">
            <w:pPr>
              <w:rPr>
                <w:rFonts w:ascii="Century Gothic" w:eastAsia="Times New Roman" w:hAnsi="Century Gothic" w:cs="Arial"/>
              </w:rPr>
            </w:pPr>
          </w:p>
          <w:p w14:paraId="4E749CD8" w14:textId="77777777" w:rsidR="00EB78C2" w:rsidRPr="00D61E32" w:rsidRDefault="00EB78C2">
            <w:pPr>
              <w:rPr>
                <w:rFonts w:ascii="Century Gothic" w:eastAsia="Times New Roman" w:hAnsi="Century Gothic" w:cs="Arial"/>
              </w:rPr>
            </w:pPr>
          </w:p>
          <w:p w14:paraId="6AB1FA2F" w14:textId="77777777" w:rsidR="00EB78C2" w:rsidRPr="00D61E32" w:rsidRDefault="00EB78C2">
            <w:pPr>
              <w:rPr>
                <w:rFonts w:ascii="Century Gothic" w:eastAsia="Times New Roman" w:hAnsi="Century Gothic" w:cs="Arial"/>
              </w:rPr>
            </w:pPr>
          </w:p>
          <w:p w14:paraId="48D7D69C" w14:textId="77777777" w:rsidR="00EB78C2" w:rsidRPr="00D61E32" w:rsidRDefault="00EB78C2">
            <w:pPr>
              <w:rPr>
                <w:rFonts w:ascii="Century Gothic" w:eastAsia="Times New Roman" w:hAnsi="Century Gothic" w:cs="Arial"/>
              </w:rPr>
            </w:pPr>
          </w:p>
          <w:p w14:paraId="1B50E9FA" w14:textId="77777777" w:rsidR="00EB78C2" w:rsidRPr="00D61E32" w:rsidRDefault="00EB78C2">
            <w:pPr>
              <w:rPr>
                <w:rFonts w:ascii="Century Gothic" w:eastAsia="Times New Roman" w:hAnsi="Century Gothic" w:cs="Arial"/>
              </w:rPr>
            </w:pPr>
          </w:p>
          <w:p w14:paraId="0A2CE45B" w14:textId="77777777" w:rsidR="00EB78C2" w:rsidRPr="00D61E32" w:rsidRDefault="00EB78C2">
            <w:pPr>
              <w:rPr>
                <w:rFonts w:ascii="Century Gothic" w:eastAsia="Times New Roman" w:hAnsi="Century Gothic" w:cs="Arial"/>
              </w:rPr>
            </w:pPr>
          </w:p>
          <w:p w14:paraId="774123F0" w14:textId="77777777" w:rsidR="00EB78C2" w:rsidRPr="00D61E32" w:rsidRDefault="00EB78C2">
            <w:pPr>
              <w:rPr>
                <w:rFonts w:ascii="Century Gothic" w:eastAsia="Times New Roman" w:hAnsi="Century Gothic" w:cs="Arial"/>
              </w:rPr>
            </w:pPr>
          </w:p>
          <w:p w14:paraId="190CA6D3" w14:textId="77777777" w:rsidR="00EB78C2" w:rsidRPr="00D61E32" w:rsidRDefault="00EB78C2">
            <w:pPr>
              <w:rPr>
                <w:rFonts w:ascii="Century Gothic" w:eastAsia="Times New Roman" w:hAnsi="Century Gothic" w:cs="Arial"/>
              </w:rPr>
            </w:pPr>
          </w:p>
          <w:p w14:paraId="1568B137" w14:textId="77777777" w:rsidR="00EB78C2" w:rsidRPr="00D61E32" w:rsidRDefault="00EB78C2">
            <w:pPr>
              <w:rPr>
                <w:rFonts w:ascii="Century Gothic" w:eastAsia="Times New Roman" w:hAnsi="Century Gothic" w:cs="Arial"/>
              </w:rPr>
            </w:pPr>
          </w:p>
          <w:p w14:paraId="6C63462C" w14:textId="77777777" w:rsidR="00EB78C2" w:rsidRPr="00D61E32" w:rsidRDefault="00EB78C2">
            <w:pPr>
              <w:rPr>
                <w:rFonts w:ascii="Century Gothic" w:eastAsia="Times New Roman" w:hAnsi="Century Gothic" w:cs="Arial"/>
              </w:rPr>
            </w:pPr>
          </w:p>
          <w:p w14:paraId="3787F2DB" w14:textId="77777777" w:rsidR="00EB78C2" w:rsidRPr="00D61E32" w:rsidRDefault="00EB78C2">
            <w:pPr>
              <w:rPr>
                <w:rFonts w:ascii="Century Gothic" w:eastAsia="Times New Roman" w:hAnsi="Century Gothic" w:cs="Arial"/>
              </w:rPr>
            </w:pPr>
          </w:p>
          <w:p w14:paraId="757C928C" w14:textId="77777777" w:rsidR="00EB78C2" w:rsidRPr="00D61E32" w:rsidRDefault="00EB78C2">
            <w:pPr>
              <w:rPr>
                <w:rFonts w:ascii="Century Gothic" w:eastAsia="Times New Roman" w:hAnsi="Century Gothic" w:cs="Arial"/>
              </w:rPr>
            </w:pPr>
          </w:p>
          <w:p w14:paraId="470F00A4" w14:textId="77777777" w:rsidR="00EB78C2" w:rsidRPr="00D61E32" w:rsidRDefault="00EB78C2">
            <w:pPr>
              <w:rPr>
                <w:rFonts w:ascii="Century Gothic" w:eastAsia="Times New Roman" w:hAnsi="Century Gothic" w:cs="Arial"/>
              </w:rPr>
            </w:pPr>
          </w:p>
          <w:p w14:paraId="2598701E" w14:textId="77777777" w:rsidR="00EB78C2" w:rsidRPr="00D61E32" w:rsidRDefault="00EB78C2">
            <w:pPr>
              <w:rPr>
                <w:rFonts w:ascii="Century Gothic" w:eastAsia="Times New Roman" w:hAnsi="Century Gothic" w:cs="Arial"/>
              </w:rPr>
            </w:pPr>
          </w:p>
          <w:p w14:paraId="6411EEE3" w14:textId="77777777" w:rsidR="00EB78C2" w:rsidRPr="00D61E32" w:rsidRDefault="00EB78C2">
            <w:pPr>
              <w:rPr>
                <w:rFonts w:ascii="Century Gothic" w:eastAsia="Times New Roman" w:hAnsi="Century Gothic" w:cs="Arial"/>
              </w:rPr>
            </w:pPr>
          </w:p>
          <w:p w14:paraId="1F0658F4" w14:textId="77777777" w:rsidR="00EB78C2" w:rsidRPr="00D61E32" w:rsidRDefault="00EB78C2">
            <w:pPr>
              <w:rPr>
                <w:rFonts w:ascii="Century Gothic" w:eastAsia="Times New Roman" w:hAnsi="Century Gothic" w:cs="Arial"/>
              </w:rPr>
            </w:pPr>
          </w:p>
          <w:p w14:paraId="518F3DFD" w14:textId="77777777" w:rsidR="00EB78C2" w:rsidRPr="00D61E32" w:rsidRDefault="00EB78C2">
            <w:pPr>
              <w:rPr>
                <w:rFonts w:ascii="Century Gothic" w:eastAsia="Times New Roman" w:hAnsi="Century Gothic" w:cs="Arial"/>
              </w:rPr>
            </w:pPr>
          </w:p>
          <w:p w14:paraId="7F49F955" w14:textId="77777777" w:rsidR="00EB78C2" w:rsidRPr="00D61E32" w:rsidRDefault="00EB78C2">
            <w:pPr>
              <w:rPr>
                <w:rFonts w:ascii="Century Gothic" w:eastAsia="Times New Roman" w:hAnsi="Century Gothic" w:cs="Arial"/>
              </w:rPr>
            </w:pPr>
          </w:p>
          <w:p w14:paraId="53EF3DB2" w14:textId="77777777" w:rsidR="00EB78C2" w:rsidRPr="00D61E32" w:rsidRDefault="00EB78C2">
            <w:pPr>
              <w:rPr>
                <w:rFonts w:ascii="Century Gothic" w:eastAsia="Times New Roman" w:hAnsi="Century Gothic" w:cs="Arial"/>
              </w:rPr>
            </w:pPr>
          </w:p>
          <w:p w14:paraId="1C1EAD68" w14:textId="77777777" w:rsidR="00EB78C2" w:rsidRPr="00D61E32" w:rsidRDefault="00EB78C2">
            <w:pPr>
              <w:rPr>
                <w:rFonts w:ascii="Century Gothic" w:eastAsia="Times New Roman" w:hAnsi="Century Gothic" w:cs="Arial"/>
              </w:rPr>
            </w:pPr>
          </w:p>
          <w:p w14:paraId="5FEF3D28" w14:textId="77777777" w:rsidR="00EB78C2" w:rsidRPr="00D61E32" w:rsidRDefault="00EB78C2">
            <w:pPr>
              <w:rPr>
                <w:rFonts w:ascii="Century Gothic" w:eastAsia="Times New Roman" w:hAnsi="Century Gothic" w:cs="Arial"/>
              </w:rPr>
            </w:pPr>
          </w:p>
          <w:p w14:paraId="780A0138" w14:textId="77777777" w:rsidR="00EB78C2" w:rsidRPr="00D61E32" w:rsidRDefault="00EB78C2">
            <w:pPr>
              <w:rPr>
                <w:rFonts w:ascii="Century Gothic" w:eastAsia="Times New Roman" w:hAnsi="Century Gothic" w:cs="Arial"/>
              </w:rPr>
            </w:pPr>
          </w:p>
          <w:p w14:paraId="32DDAB71" w14:textId="77777777" w:rsidR="00EB78C2" w:rsidRPr="00D61E32" w:rsidRDefault="00EB78C2">
            <w:pPr>
              <w:rPr>
                <w:rFonts w:ascii="Century Gothic" w:eastAsia="Times New Roman" w:hAnsi="Century Gothic" w:cs="Arial"/>
              </w:rPr>
            </w:pPr>
          </w:p>
          <w:p w14:paraId="7D06EFAE" w14:textId="77777777" w:rsidR="00EB78C2" w:rsidRPr="00D61E32" w:rsidRDefault="00EB78C2">
            <w:pPr>
              <w:rPr>
                <w:rFonts w:ascii="Century Gothic" w:eastAsia="Times New Roman" w:hAnsi="Century Gothic" w:cs="Arial"/>
              </w:rPr>
            </w:pPr>
          </w:p>
          <w:p w14:paraId="0E25DA0E" w14:textId="77777777" w:rsidR="00EB78C2" w:rsidRPr="00D61E32" w:rsidRDefault="00EB78C2">
            <w:pPr>
              <w:rPr>
                <w:rFonts w:ascii="Century Gothic" w:eastAsia="Times New Roman" w:hAnsi="Century Gothic" w:cs="Arial"/>
              </w:rPr>
            </w:pPr>
          </w:p>
          <w:p w14:paraId="5D2AF7AB" w14:textId="77777777" w:rsidR="00EB78C2" w:rsidRPr="00D61E32" w:rsidRDefault="00EB78C2">
            <w:pPr>
              <w:rPr>
                <w:rFonts w:ascii="Century Gothic" w:eastAsia="Times New Roman" w:hAnsi="Century Gothic" w:cs="Arial"/>
              </w:rPr>
            </w:pPr>
          </w:p>
          <w:p w14:paraId="546C37E2" w14:textId="77777777" w:rsidR="00EB78C2" w:rsidRDefault="00EB78C2">
            <w:pPr>
              <w:rPr>
                <w:rFonts w:ascii="Century Gothic" w:eastAsia="Times New Roman" w:hAnsi="Century Gothic" w:cs="Arial"/>
              </w:rPr>
            </w:pPr>
          </w:p>
          <w:p w14:paraId="493CA4A5" w14:textId="77777777" w:rsidR="00E70A33" w:rsidRDefault="00E70A33">
            <w:pPr>
              <w:rPr>
                <w:rFonts w:ascii="Century Gothic" w:eastAsia="Times New Roman" w:hAnsi="Century Gothic" w:cs="Arial"/>
              </w:rPr>
            </w:pPr>
          </w:p>
          <w:p w14:paraId="2C5CC074" w14:textId="77777777" w:rsidR="00E70A33" w:rsidRDefault="00E70A33">
            <w:pPr>
              <w:rPr>
                <w:rFonts w:ascii="Century Gothic" w:eastAsia="Times New Roman" w:hAnsi="Century Gothic" w:cs="Arial"/>
              </w:rPr>
            </w:pPr>
          </w:p>
          <w:p w14:paraId="7C105111" w14:textId="77777777" w:rsidR="00E70A33" w:rsidRDefault="00E70A33">
            <w:pPr>
              <w:rPr>
                <w:rFonts w:ascii="Century Gothic" w:eastAsia="Times New Roman" w:hAnsi="Century Gothic" w:cs="Arial"/>
              </w:rPr>
            </w:pPr>
          </w:p>
          <w:p w14:paraId="1F73EF07" w14:textId="77777777" w:rsidR="00E70A33" w:rsidRDefault="00E70A33">
            <w:pPr>
              <w:rPr>
                <w:rFonts w:ascii="Century Gothic" w:eastAsia="Times New Roman" w:hAnsi="Century Gothic" w:cs="Arial"/>
              </w:rPr>
            </w:pPr>
          </w:p>
          <w:p w14:paraId="13BE1BB9" w14:textId="77777777" w:rsidR="00E70A33" w:rsidRDefault="00E70A33">
            <w:pPr>
              <w:rPr>
                <w:rFonts w:ascii="Century Gothic" w:eastAsia="Times New Roman" w:hAnsi="Century Gothic" w:cs="Arial"/>
              </w:rPr>
            </w:pPr>
          </w:p>
          <w:p w14:paraId="7BF02DA0" w14:textId="77777777" w:rsidR="00E70A33" w:rsidRDefault="00E70A33">
            <w:pPr>
              <w:rPr>
                <w:rFonts w:ascii="Century Gothic" w:eastAsia="Times New Roman" w:hAnsi="Century Gothic" w:cs="Arial"/>
              </w:rPr>
            </w:pPr>
          </w:p>
          <w:p w14:paraId="280913EB" w14:textId="77777777" w:rsidR="00E70A33" w:rsidRDefault="00E70A33">
            <w:pPr>
              <w:rPr>
                <w:rFonts w:ascii="Century Gothic" w:eastAsia="Times New Roman" w:hAnsi="Century Gothic" w:cs="Arial"/>
              </w:rPr>
            </w:pPr>
          </w:p>
          <w:p w14:paraId="6D6E9ED4" w14:textId="77777777" w:rsidR="00E70A33" w:rsidRDefault="00E70A33">
            <w:pPr>
              <w:rPr>
                <w:rFonts w:ascii="Century Gothic" w:eastAsia="Times New Roman" w:hAnsi="Century Gothic" w:cs="Arial"/>
              </w:rPr>
            </w:pPr>
          </w:p>
          <w:p w14:paraId="17CC1875" w14:textId="77777777" w:rsidR="00E70A33" w:rsidRDefault="00E70A33">
            <w:pPr>
              <w:rPr>
                <w:rFonts w:ascii="Century Gothic" w:eastAsia="Times New Roman" w:hAnsi="Century Gothic" w:cs="Arial"/>
              </w:rPr>
            </w:pPr>
          </w:p>
          <w:p w14:paraId="36B01850" w14:textId="77777777" w:rsidR="00E70A33" w:rsidRDefault="00E70A33">
            <w:pPr>
              <w:rPr>
                <w:rFonts w:ascii="Century Gothic" w:eastAsia="Times New Roman" w:hAnsi="Century Gothic" w:cs="Arial"/>
              </w:rPr>
            </w:pPr>
          </w:p>
          <w:p w14:paraId="7D1F23A6" w14:textId="77777777" w:rsidR="00E70A33" w:rsidRDefault="00E70A33">
            <w:pPr>
              <w:rPr>
                <w:rFonts w:ascii="Century Gothic" w:eastAsia="Times New Roman" w:hAnsi="Century Gothic" w:cs="Arial"/>
              </w:rPr>
            </w:pPr>
          </w:p>
          <w:p w14:paraId="6AD73127" w14:textId="77777777" w:rsidR="00E70A33" w:rsidRDefault="00E70A33">
            <w:pPr>
              <w:rPr>
                <w:rFonts w:ascii="Century Gothic" w:eastAsia="Times New Roman" w:hAnsi="Century Gothic" w:cs="Arial"/>
              </w:rPr>
            </w:pPr>
          </w:p>
          <w:p w14:paraId="09DED09C" w14:textId="77777777" w:rsidR="00E70A33" w:rsidRDefault="00E70A33">
            <w:pPr>
              <w:rPr>
                <w:rFonts w:ascii="Century Gothic" w:eastAsia="Times New Roman" w:hAnsi="Century Gothic" w:cs="Arial"/>
              </w:rPr>
            </w:pPr>
          </w:p>
          <w:p w14:paraId="434224FC" w14:textId="77777777" w:rsidR="00E70A33" w:rsidRDefault="00E70A33">
            <w:pPr>
              <w:rPr>
                <w:rFonts w:ascii="Century Gothic" w:eastAsia="Times New Roman" w:hAnsi="Century Gothic" w:cs="Arial"/>
              </w:rPr>
            </w:pPr>
          </w:p>
          <w:p w14:paraId="7D29ED56" w14:textId="77777777" w:rsidR="00E70A33" w:rsidRDefault="00E70A33">
            <w:pPr>
              <w:rPr>
                <w:rFonts w:ascii="Century Gothic" w:eastAsia="Times New Roman" w:hAnsi="Century Gothic" w:cs="Arial"/>
              </w:rPr>
            </w:pPr>
          </w:p>
          <w:p w14:paraId="554433F4" w14:textId="77777777" w:rsidR="00E70A33" w:rsidRDefault="00E70A33">
            <w:pPr>
              <w:rPr>
                <w:rFonts w:ascii="Century Gothic" w:eastAsia="Times New Roman" w:hAnsi="Century Gothic" w:cs="Arial"/>
              </w:rPr>
            </w:pPr>
          </w:p>
          <w:p w14:paraId="2E0CCA4F" w14:textId="77777777" w:rsidR="00E70A33" w:rsidRDefault="00E70A33">
            <w:pPr>
              <w:rPr>
                <w:rFonts w:ascii="Century Gothic" w:eastAsia="Times New Roman" w:hAnsi="Century Gothic" w:cs="Arial"/>
              </w:rPr>
            </w:pPr>
          </w:p>
          <w:p w14:paraId="6BB0F1F3" w14:textId="77777777" w:rsidR="00E70A33" w:rsidRDefault="00E70A33">
            <w:pPr>
              <w:rPr>
                <w:rFonts w:ascii="Century Gothic" w:eastAsia="Times New Roman" w:hAnsi="Century Gothic" w:cs="Arial"/>
              </w:rPr>
            </w:pPr>
          </w:p>
          <w:p w14:paraId="4F41ABAC" w14:textId="77777777" w:rsidR="00E70A33" w:rsidRDefault="00E70A33">
            <w:pPr>
              <w:rPr>
                <w:rFonts w:ascii="Century Gothic" w:eastAsia="Times New Roman" w:hAnsi="Century Gothic" w:cs="Arial"/>
              </w:rPr>
            </w:pPr>
          </w:p>
          <w:p w14:paraId="7D6DB34E" w14:textId="77777777" w:rsidR="00E70A33" w:rsidRDefault="00E70A33">
            <w:pPr>
              <w:rPr>
                <w:rFonts w:ascii="Century Gothic" w:eastAsia="Times New Roman" w:hAnsi="Century Gothic" w:cs="Arial"/>
              </w:rPr>
            </w:pPr>
          </w:p>
          <w:p w14:paraId="229EB997" w14:textId="77777777" w:rsidR="00E70A33" w:rsidRDefault="00E70A33">
            <w:pPr>
              <w:rPr>
                <w:rFonts w:ascii="Century Gothic" w:eastAsia="Times New Roman" w:hAnsi="Century Gothic" w:cs="Arial"/>
              </w:rPr>
            </w:pPr>
          </w:p>
          <w:p w14:paraId="1A2B0D16" w14:textId="77777777" w:rsidR="00E70A33" w:rsidRDefault="00E70A33">
            <w:pPr>
              <w:rPr>
                <w:rFonts w:ascii="Century Gothic" w:eastAsia="Times New Roman" w:hAnsi="Century Gothic" w:cs="Arial"/>
              </w:rPr>
            </w:pPr>
          </w:p>
          <w:p w14:paraId="5ABAFC66" w14:textId="77777777" w:rsidR="00E70A33" w:rsidRDefault="00E70A33">
            <w:pPr>
              <w:rPr>
                <w:rFonts w:ascii="Century Gothic" w:eastAsia="Times New Roman" w:hAnsi="Century Gothic" w:cs="Arial"/>
              </w:rPr>
            </w:pPr>
          </w:p>
          <w:p w14:paraId="6E8EA17B" w14:textId="77777777" w:rsidR="00E70A33" w:rsidRDefault="00E70A33">
            <w:pPr>
              <w:rPr>
                <w:rFonts w:ascii="Century Gothic" w:eastAsia="Times New Roman" w:hAnsi="Century Gothic" w:cs="Arial"/>
              </w:rPr>
            </w:pPr>
          </w:p>
          <w:p w14:paraId="566BBBCE" w14:textId="77777777" w:rsidR="00E70A33" w:rsidRDefault="00E70A33">
            <w:pPr>
              <w:rPr>
                <w:rFonts w:ascii="Century Gothic" w:eastAsia="Times New Roman" w:hAnsi="Century Gothic" w:cs="Arial"/>
              </w:rPr>
            </w:pPr>
          </w:p>
          <w:p w14:paraId="609E6247" w14:textId="77777777" w:rsidR="00E70A33" w:rsidRDefault="00E70A33">
            <w:pPr>
              <w:rPr>
                <w:rFonts w:ascii="Century Gothic" w:eastAsia="Times New Roman" w:hAnsi="Century Gothic" w:cs="Arial"/>
              </w:rPr>
            </w:pPr>
          </w:p>
          <w:p w14:paraId="57CDF513" w14:textId="77777777" w:rsidR="00E70A33" w:rsidRDefault="00E70A33">
            <w:pPr>
              <w:rPr>
                <w:rFonts w:ascii="Century Gothic" w:eastAsia="Times New Roman" w:hAnsi="Century Gothic" w:cs="Arial"/>
              </w:rPr>
            </w:pPr>
          </w:p>
          <w:p w14:paraId="0F777F56" w14:textId="77777777" w:rsidR="00E70A33" w:rsidRDefault="00E70A33">
            <w:pPr>
              <w:rPr>
                <w:rFonts w:ascii="Century Gothic" w:eastAsia="Times New Roman" w:hAnsi="Century Gothic" w:cs="Arial"/>
              </w:rPr>
            </w:pPr>
          </w:p>
          <w:p w14:paraId="5CC6AB1A" w14:textId="77777777" w:rsidR="00E70A33" w:rsidRDefault="00E70A33">
            <w:pPr>
              <w:rPr>
                <w:rFonts w:ascii="Century Gothic" w:eastAsia="Times New Roman" w:hAnsi="Century Gothic" w:cs="Arial"/>
              </w:rPr>
            </w:pPr>
          </w:p>
          <w:p w14:paraId="0937C05D" w14:textId="77777777" w:rsidR="00E70A33" w:rsidRPr="00D61E32" w:rsidRDefault="00E70A33">
            <w:pPr>
              <w:rPr>
                <w:rFonts w:ascii="Century Gothic" w:eastAsia="Times New Roman" w:hAnsi="Century Gothic" w:cs="Arial"/>
              </w:rPr>
            </w:pPr>
          </w:p>
          <w:p w14:paraId="56A8ADFF" w14:textId="77777777" w:rsidR="00EB78C2" w:rsidRPr="00D61E32" w:rsidRDefault="00EB78C2">
            <w:pPr>
              <w:rPr>
                <w:rFonts w:ascii="Century Gothic" w:eastAsia="Times New Roman" w:hAnsi="Century Gothic" w:cs="Arial"/>
              </w:rPr>
            </w:pPr>
          </w:p>
          <w:p w14:paraId="2027E1C3" w14:textId="77777777" w:rsidR="00EB78C2" w:rsidRPr="00D61E32" w:rsidRDefault="00EB78C2">
            <w:pPr>
              <w:rPr>
                <w:rFonts w:ascii="Century Gothic" w:eastAsia="Times New Roman" w:hAnsi="Century Gothic" w:cs="Arial"/>
              </w:rPr>
            </w:pPr>
          </w:p>
          <w:p w14:paraId="350CAC50" w14:textId="77777777" w:rsidR="00EB78C2" w:rsidRDefault="00EB78C2">
            <w:pPr>
              <w:rPr>
                <w:rFonts w:ascii="Century Gothic" w:eastAsia="Times New Roman" w:hAnsi="Century Gothic" w:cs="Arial"/>
              </w:rPr>
            </w:pPr>
          </w:p>
          <w:p w14:paraId="0CEC197B" w14:textId="77777777" w:rsidR="00E70A33" w:rsidRDefault="00E70A33">
            <w:pPr>
              <w:rPr>
                <w:rFonts w:ascii="Century Gothic" w:eastAsia="Times New Roman" w:hAnsi="Century Gothic" w:cs="Arial"/>
              </w:rPr>
            </w:pPr>
          </w:p>
          <w:p w14:paraId="3153D9C6" w14:textId="77777777" w:rsidR="00E70A33" w:rsidRDefault="00E70A33">
            <w:pPr>
              <w:rPr>
                <w:rFonts w:ascii="Century Gothic" w:eastAsia="Times New Roman" w:hAnsi="Century Gothic" w:cs="Arial"/>
              </w:rPr>
            </w:pPr>
          </w:p>
          <w:p w14:paraId="4DECFCB6" w14:textId="77777777" w:rsidR="00E70A33" w:rsidRDefault="00E70A33">
            <w:pPr>
              <w:rPr>
                <w:rFonts w:ascii="Century Gothic" w:eastAsia="Times New Roman" w:hAnsi="Century Gothic" w:cs="Arial"/>
              </w:rPr>
            </w:pPr>
          </w:p>
          <w:p w14:paraId="150138C0" w14:textId="77777777" w:rsidR="00E70A33" w:rsidRDefault="00E70A33">
            <w:pPr>
              <w:rPr>
                <w:rFonts w:ascii="Century Gothic" w:eastAsia="Times New Roman" w:hAnsi="Century Gothic" w:cs="Arial"/>
              </w:rPr>
            </w:pPr>
          </w:p>
          <w:p w14:paraId="26A9932C" w14:textId="77777777" w:rsidR="00E70A33" w:rsidRDefault="00E70A33">
            <w:pPr>
              <w:rPr>
                <w:rFonts w:ascii="Century Gothic" w:eastAsia="Times New Roman" w:hAnsi="Century Gothic" w:cs="Arial"/>
              </w:rPr>
            </w:pPr>
          </w:p>
          <w:p w14:paraId="0C327966" w14:textId="77777777" w:rsidR="00E70A33" w:rsidRPr="00D61E32" w:rsidRDefault="00E70A33">
            <w:pPr>
              <w:rPr>
                <w:rFonts w:ascii="Century Gothic" w:eastAsia="Times New Roman" w:hAnsi="Century Gothic" w:cs="Arial"/>
              </w:rPr>
            </w:pPr>
          </w:p>
          <w:p w14:paraId="7935D618" w14:textId="2E65E6D9"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B. Factors for determining whether to remove RR: </w:t>
            </w:r>
          </w:p>
          <w:p w14:paraId="21635A4C"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Same as M/S</w:t>
            </w:r>
          </w:p>
        </w:tc>
      </w:tr>
      <w:tr w:rsidR="00EB78C2" w:rsidRPr="00D61E32" w14:paraId="0700ACBA" w14:textId="77777777" w:rsidTr="0026724E">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74A540" w14:textId="77777777" w:rsidR="00EB78C2" w:rsidRPr="00D61E32" w:rsidRDefault="00EB78C2">
            <w:pPr>
              <w:rPr>
                <w:rFonts w:ascii="Century Gothic" w:eastAsia="Times New Roman" w:hAnsi="Century Gothic" w:cs="Arial"/>
                <w:bCs/>
              </w:rPr>
            </w:pPr>
            <w:r w:rsidRPr="00D61E32">
              <w:rPr>
                <w:rFonts w:ascii="Century Gothic" w:eastAsia="Times New Roman" w:hAnsi="Century Gothic"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61F4677B" w14:textId="77777777" w:rsidR="00EB78C2" w:rsidRPr="00D61E32" w:rsidRDefault="00EB78C2" w:rsidP="00EB78C2">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The analyses, as documented, should explain whether there is any variation in the application of a guideline or standard used by the plan or issuer between MH/SUD and medical/surgical benefits and, if so, describe the process and factors used for establishing that variation.</w:t>
            </w:r>
          </w:p>
          <w:p w14:paraId="7832D4B6" w14:textId="77777777" w:rsidR="00EB78C2" w:rsidRPr="00D61E32" w:rsidRDefault="00EB78C2" w:rsidP="00EB78C2">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If the application of the NQTL turns on specific decisions in administration of the benefits, the plan or issuer should identify the nature of the decisions, the decision maker(s), the timing of the decisions, and the qualifications of the decision maker(s).</w:t>
            </w:r>
          </w:p>
          <w:p w14:paraId="5117540F" w14:textId="77777777" w:rsidR="00EB78C2" w:rsidRPr="00D61E32" w:rsidRDefault="00EB78C2" w:rsidP="00EB78C2">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 xml:space="preserve">If the </w:t>
            </w:r>
            <w:proofErr w:type="gramStart"/>
            <w:r w:rsidRPr="00D61E32">
              <w:rPr>
                <w:rFonts w:ascii="Century Gothic" w:eastAsia="Times New Roman" w:hAnsi="Century Gothic" w:cs="Arial"/>
                <w:bCs/>
                <w:i/>
              </w:rPr>
              <w:t>plan’s</w:t>
            </w:r>
            <w:proofErr w:type="gramEnd"/>
            <w:r w:rsidRPr="00D61E32">
              <w:rPr>
                <w:rFonts w:ascii="Century Gothic" w:eastAsia="Times New Roman" w:hAnsi="Century Gothic" w:cs="Arial"/>
                <w:bCs/>
                <w:i/>
              </w:rPr>
              <w:t xml:space="preserve">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r w:rsidRPr="00D61E32">
              <w:rPr>
                <w:rStyle w:val="FootnoteReference"/>
                <w:rFonts w:ascii="Century Gothic" w:eastAsia="Times New Roman" w:hAnsi="Century Gothic" w:cs="Arial"/>
                <w:bCs/>
                <w:i/>
              </w:rPr>
              <w:footnoteReference w:id="39"/>
            </w:r>
          </w:p>
        </w:tc>
      </w:tr>
      <w:tr w:rsidR="00EB78C2" w:rsidRPr="00D61E32" w14:paraId="00C59D82" w14:textId="77777777" w:rsidTr="0026724E">
        <w:trPr>
          <w:trHeight w:val="1720"/>
        </w:trPr>
        <w:tc>
          <w:tcPr>
            <w:tcW w:w="2500" w:type="pct"/>
            <w:tcBorders>
              <w:top w:val="single" w:sz="4" w:space="0" w:color="auto"/>
              <w:left w:val="single" w:sz="4" w:space="0" w:color="auto"/>
              <w:bottom w:val="single" w:sz="4" w:space="0" w:color="auto"/>
              <w:right w:val="single" w:sz="4" w:space="0" w:color="auto"/>
            </w:tcBorders>
          </w:tcPr>
          <w:p w14:paraId="524EE374" w14:textId="78E70C62" w:rsidR="00EB78C2" w:rsidRPr="00D61E32" w:rsidRDefault="00EB78C2">
            <w:pPr>
              <w:rPr>
                <w:rFonts w:ascii="Century Gothic" w:hAnsi="Century Gothic" w:cs="Arial"/>
              </w:rPr>
            </w:pPr>
            <w:r w:rsidRPr="00D61E32">
              <w:rPr>
                <w:rFonts w:ascii="Century Gothic" w:hAnsi="Century Gothic" w:cs="Arial"/>
                <w:b/>
                <w:i/>
              </w:rPr>
              <w:t>Step 4(a): Briefly describe the processes by which Retrospective Review is applied to M/S benefits</w:t>
            </w:r>
            <w:r w:rsidRPr="00D61E32">
              <w:rPr>
                <w:rFonts w:ascii="Century Gothic" w:hAnsi="Century Gothic" w:cs="Arial"/>
              </w:rPr>
              <w:t>:</w:t>
            </w:r>
          </w:p>
          <w:p w14:paraId="2ACACC20" w14:textId="02457485" w:rsidR="00EB78C2" w:rsidRPr="00E70A33" w:rsidRDefault="00EB78C2">
            <w:pPr>
              <w:rPr>
                <w:rFonts w:ascii="Century Gothic" w:hAnsi="Century Gothic" w:cs="Arial"/>
              </w:rPr>
            </w:pPr>
            <w:r w:rsidRPr="00D61E32">
              <w:rPr>
                <w:rFonts w:ascii="Century Gothic" w:hAnsi="Century Gothic" w:cs="Arial"/>
              </w:rPr>
              <w:t>*Note: Since the plan defines retrospective review as an authorization post service but pre-payment, the processes for retrospective review are the same as the processes outlined by the plan in the Prior Authorization NQTL.</w:t>
            </w:r>
          </w:p>
          <w:p w14:paraId="14D3244B" w14:textId="68E6F09E" w:rsidR="00EB78C2" w:rsidRPr="00E70A33" w:rsidRDefault="00EB78C2">
            <w:pPr>
              <w:rPr>
                <w:rFonts w:ascii="Century Gothic" w:hAnsi="Century Gothic" w:cs="Arial"/>
              </w:rPr>
            </w:pPr>
            <w:r w:rsidRPr="00D61E32">
              <w:rPr>
                <w:rFonts w:ascii="Century Gothic" w:hAnsi="Century Gothic" w:cs="Arial"/>
                <w:i/>
              </w:rPr>
              <w:t>A. Timelines and deadlines, including the frequency with which re-authorizations are required</w:t>
            </w:r>
            <w:r w:rsidRPr="00D61E32">
              <w:rPr>
                <w:rFonts w:ascii="Century Gothic" w:hAnsi="Century Gothic" w:cs="Arial"/>
              </w:rPr>
              <w:t>:</w:t>
            </w:r>
          </w:p>
          <w:p w14:paraId="032410A4" w14:textId="77777777" w:rsidR="00EB78C2" w:rsidRPr="00D61E32" w:rsidRDefault="00EB78C2">
            <w:pPr>
              <w:rPr>
                <w:rFonts w:ascii="Century Gothic" w:hAnsi="Century Gothic" w:cs="Arial"/>
                <w:b/>
                <w:bCs/>
              </w:rPr>
            </w:pPr>
            <w:r w:rsidRPr="00D61E32">
              <w:rPr>
                <w:rFonts w:ascii="Century Gothic" w:hAnsi="Century Gothic" w:cs="Arial"/>
                <w:b/>
                <w:bCs/>
              </w:rPr>
              <w:t>Cigna</w:t>
            </w:r>
          </w:p>
          <w:p w14:paraId="1B9AD4B4" w14:textId="4F3025BD" w:rsidR="00EB78C2" w:rsidRPr="00E70A33" w:rsidRDefault="00EB78C2">
            <w:pPr>
              <w:rPr>
                <w:rFonts w:ascii="Century Gothic" w:hAnsi="Century Gothic" w:cs="Arial"/>
                <w:lang w:val="x-none"/>
              </w:rPr>
            </w:pPr>
            <w:r w:rsidRPr="00D61E32">
              <w:rPr>
                <w:rFonts w:ascii="Century Gothic" w:hAnsi="Century Gothic" w:cs="Arial"/>
                <w:lang w:val="x-none"/>
              </w:rPr>
              <w:t>Cigna typically authorizes 1-4 medical/surgical or MH/SUD inpatient days upon review.</w:t>
            </w:r>
          </w:p>
          <w:p w14:paraId="1DDEBAD6" w14:textId="77777777" w:rsidR="00EB78C2" w:rsidRPr="00D61E32" w:rsidRDefault="00EB78C2">
            <w:pPr>
              <w:rPr>
                <w:rFonts w:ascii="Century Gothic" w:hAnsi="Century Gothic" w:cs="Arial"/>
              </w:rPr>
            </w:pPr>
            <w:r w:rsidRPr="00D61E32">
              <w:rPr>
                <w:rFonts w:ascii="Century Gothic" w:hAnsi="Century Gothic" w:cs="Arial"/>
                <w:i/>
              </w:rPr>
              <w:t>B. Forms and/or other information required to be submitted by the provider</w:t>
            </w:r>
            <w:r w:rsidRPr="00D61E32">
              <w:rPr>
                <w:rFonts w:ascii="Century Gothic" w:hAnsi="Century Gothic" w:cs="Arial"/>
              </w:rPr>
              <w:t>:</w:t>
            </w:r>
          </w:p>
          <w:p w14:paraId="04B25520" w14:textId="77777777" w:rsidR="00EB78C2" w:rsidRPr="00D61E32" w:rsidRDefault="00EB78C2">
            <w:pPr>
              <w:rPr>
                <w:rFonts w:ascii="Century Gothic" w:hAnsi="Century Gothic" w:cs="Arial"/>
                <w:b/>
                <w:bCs/>
              </w:rPr>
            </w:pPr>
            <w:r w:rsidRPr="00D61E32">
              <w:rPr>
                <w:rFonts w:ascii="Century Gothic" w:hAnsi="Century Gothic" w:cs="Arial"/>
                <w:b/>
                <w:bCs/>
              </w:rPr>
              <w:t>Cigna</w:t>
            </w:r>
          </w:p>
          <w:p w14:paraId="689BEA04" w14:textId="697BA081" w:rsidR="00EB78C2" w:rsidRPr="00E70A33" w:rsidRDefault="00EB78C2">
            <w:pPr>
              <w:rPr>
                <w:rFonts w:ascii="Century Gothic" w:hAnsi="Century Gothic" w:cs="Arial"/>
              </w:rPr>
            </w:pPr>
            <w:r w:rsidRPr="00D61E32">
              <w:rPr>
                <w:rFonts w:ascii="Century Gothic" w:hAnsi="Century Gothic" w:cs="Arial"/>
              </w:rPr>
              <w:t xml:space="preserve">For a service subject to retrospective review, the enrollee’s treating provider submits a request for benefit authorization of an inpatient level of care electronically or by phone, </w:t>
            </w:r>
            <w:proofErr w:type="gramStart"/>
            <w:r w:rsidRPr="00D61E32">
              <w:rPr>
                <w:rFonts w:ascii="Century Gothic" w:hAnsi="Century Gothic" w:cs="Arial"/>
              </w:rPr>
              <w:t>fax</w:t>
            </w:r>
            <w:proofErr w:type="gramEnd"/>
            <w:r w:rsidRPr="00D61E32">
              <w:rPr>
                <w:rFonts w:ascii="Century Gothic" w:hAnsi="Century Gothic" w:cs="Arial"/>
              </w:rPr>
              <w:t xml:space="preserve"> or mail. If the request cannot be authorized using an approved algorithm, the case is referred to a nurse reviewer/care manager who collects and reviews the supporting clinical information for medical necessity. If the nurse reviewer/care manager determines the enrollee meets criteria for the inpatient level of care requested, he/she authorizes the services at issue. </w:t>
            </w:r>
          </w:p>
          <w:p w14:paraId="43648278" w14:textId="764CB417" w:rsidR="00EB78C2" w:rsidRPr="00E70A33" w:rsidRDefault="00EB78C2">
            <w:pPr>
              <w:rPr>
                <w:rFonts w:ascii="Century Gothic" w:hAnsi="Century Gothic" w:cs="Arial"/>
              </w:rPr>
            </w:pPr>
            <w:r w:rsidRPr="00D61E32">
              <w:rPr>
                <w:rFonts w:ascii="Century Gothic" w:hAnsi="Century Gothic" w:cs="Arial"/>
                <w:i/>
              </w:rPr>
              <w:t xml:space="preserve">C. In-operation processes in place to </w:t>
            </w:r>
            <w:proofErr w:type="gramStart"/>
            <w:r w:rsidRPr="00D61E32">
              <w:rPr>
                <w:rFonts w:ascii="Century Gothic" w:hAnsi="Century Gothic" w:cs="Arial"/>
                <w:i/>
              </w:rPr>
              <w:t>make a determination</w:t>
            </w:r>
            <w:proofErr w:type="gramEnd"/>
            <w:r w:rsidRPr="00D61E32">
              <w:rPr>
                <w:rFonts w:ascii="Century Gothic" w:hAnsi="Century Gothic" w:cs="Arial"/>
                <w:i/>
              </w:rPr>
              <w:t xml:space="preserve"> such as distinctions between first and second-level reviews or between administrative and clinical reviews, peer-to-peer reviews, and the use of medical discretion applied in lieu of or in the absence of written criteria and guidelines</w:t>
            </w:r>
            <w:r w:rsidRPr="00D61E32">
              <w:rPr>
                <w:rFonts w:ascii="Century Gothic" w:hAnsi="Century Gothic" w:cs="Arial"/>
              </w:rPr>
              <w:t>:</w:t>
            </w:r>
          </w:p>
          <w:p w14:paraId="01EE0865" w14:textId="77777777" w:rsidR="00EB78C2" w:rsidRPr="00D61E32" w:rsidRDefault="00EB78C2">
            <w:pPr>
              <w:rPr>
                <w:rFonts w:ascii="Century Gothic" w:hAnsi="Century Gothic" w:cs="Arial"/>
                <w:b/>
                <w:bCs/>
              </w:rPr>
            </w:pPr>
            <w:r w:rsidRPr="00D61E32">
              <w:rPr>
                <w:rFonts w:ascii="Century Gothic" w:hAnsi="Century Gothic" w:cs="Arial"/>
                <w:b/>
                <w:bCs/>
              </w:rPr>
              <w:t>Cigna</w:t>
            </w:r>
          </w:p>
          <w:p w14:paraId="1259E4B7" w14:textId="30C5F674" w:rsidR="00EB78C2" w:rsidRPr="00D61E32" w:rsidRDefault="00EB78C2">
            <w:pPr>
              <w:rPr>
                <w:rFonts w:ascii="Century Gothic" w:hAnsi="Century Gothic" w:cs="Arial"/>
              </w:rPr>
            </w:pPr>
            <w:r w:rsidRPr="00D61E32">
              <w:rPr>
                <w:rFonts w:ascii="Century Gothic" w:hAnsi="Century Gothic" w:cs="Arial"/>
              </w:rPr>
              <w:t xml:space="preserve">If the nurse reviewer/care manager assesses the enrollee does not appear to meet medical necessity criteria for the inpatient level of care at issue, he/she refers the case to a peer reviewer (e.g. Medical Director) who reviews the clinical information and determines whether the enrollee meets medical necessity criteria for the inpatient level of care at issue (i.e., peer reviewer may authorize or deny benefit authorization depending upon the information provided by the treating provider). </w:t>
            </w:r>
          </w:p>
          <w:p w14:paraId="042D59D2" w14:textId="6EE1F982" w:rsidR="00EB78C2" w:rsidRPr="00D61E32" w:rsidRDefault="00EB78C2">
            <w:pPr>
              <w:rPr>
                <w:rFonts w:ascii="Century Gothic" w:hAnsi="Century Gothic" w:cs="Arial"/>
              </w:rPr>
            </w:pPr>
            <w:r w:rsidRPr="00D61E32">
              <w:rPr>
                <w:rFonts w:ascii="Century Gothic" w:hAnsi="Century Gothic" w:cs="Arial"/>
              </w:rPr>
              <w:t xml:space="preserve">Cigna regularly reviews utilization management data to evaluate and ensure operational compliance of the medical management suite of NQTLs, including Medical Necessity and Appeals, Prior Authorization and Concurrent Review. Data is reviewed by benefit classification and sub-classification to calculate denial rates to ensure comparability. Cigna’s application of the medical necessity NQTL, specifically approvals and denials rates, for Prior Authorization, Retrospective Review, and Concurrent Review across benefit classifications for a sampling of Cigna plans revealed no statistically significant discrepancies in medical necessity denial rates as-between MH/SUD and M/S benefits. Cigna utilizes appeals data to review the number of utilization review decisions across the book-of-business.  Appeals data is delineated by </w:t>
            </w:r>
            <w:proofErr w:type="gramStart"/>
            <w:r w:rsidRPr="00D61E32">
              <w:rPr>
                <w:rFonts w:ascii="Century Gothic" w:hAnsi="Century Gothic" w:cs="Arial"/>
              </w:rPr>
              <w:t>pre</w:t>
            </w:r>
            <w:proofErr w:type="gramEnd"/>
            <w:r w:rsidRPr="00D61E32">
              <w:rPr>
                <w:rFonts w:ascii="Century Gothic" w:hAnsi="Century Gothic" w:cs="Arial"/>
              </w:rPr>
              <w:t xml:space="preserve"> and post services and includes prior authorization and concurrent review, overturned for the same time period relating to the utilization management data metrics included in Cigna's book of business data. Data reflected overall comparable overturn rates across benefit classifications.  </w:t>
            </w:r>
          </w:p>
          <w:p w14:paraId="30E4FC84" w14:textId="0204ADBE" w:rsidR="00EB78C2" w:rsidRPr="00D61E32" w:rsidRDefault="00EB78C2">
            <w:pPr>
              <w:rPr>
                <w:rFonts w:ascii="Century Gothic" w:hAnsi="Century Gothic" w:cs="Arial"/>
              </w:rPr>
            </w:pPr>
            <w:r w:rsidRPr="00D61E32">
              <w:rPr>
                <w:rFonts w:ascii="Century Gothic" w:hAnsi="Century Gothic" w:cs="Arial"/>
              </w:rPr>
              <w:t>Additionally, Cigna conducts routine (occurring no less frequently than annually) Inter-Rater Reliability (IRR) testing is used to evaluate consistency of clinical decision-making across reviewers and to identify any potential revisions to coverage policies that may be warranted. Corrective action is initiated if a score falls below 85% and if the results are below 90% the Medical Director will evaluate the scores and decide whether to convene a review process with the Medical Directors/Physician Reviewers. Of note, the company’s most recent MH/SUD IRR exercise did not reveal a need to revise its coverage policies governing reviews of MH/SUD benefits</w:t>
            </w:r>
            <w:r w:rsidR="00E70A33">
              <w:rPr>
                <w:rFonts w:ascii="Century Gothic" w:hAnsi="Century Gothic" w:cs="Arial"/>
              </w:rPr>
              <w:t>.</w:t>
            </w:r>
          </w:p>
          <w:p w14:paraId="5BB8209A" w14:textId="77777777" w:rsidR="00EB78C2" w:rsidRPr="00D61E32" w:rsidRDefault="00EB78C2">
            <w:pPr>
              <w:rPr>
                <w:rFonts w:ascii="Century Gothic" w:hAnsi="Century Gothic" w:cs="Arial"/>
              </w:rPr>
            </w:pPr>
            <w:bookmarkStart w:id="16" w:name="OLE_LINK5"/>
            <w:r w:rsidRPr="00D61E32">
              <w:rPr>
                <w:rFonts w:ascii="Century Gothic" w:hAnsi="Century Gothic" w:cs="Arial"/>
                <w:i/>
              </w:rPr>
              <w:t>D. Minimum qualifications for reviewers</w:t>
            </w:r>
            <w:r w:rsidRPr="00D61E32">
              <w:rPr>
                <w:rFonts w:ascii="Century Gothic" w:hAnsi="Century Gothic" w:cs="Arial"/>
              </w:rPr>
              <w:t>:</w:t>
            </w:r>
          </w:p>
          <w:p w14:paraId="41C7AD2E" w14:textId="77777777" w:rsidR="00EB78C2" w:rsidRPr="00D61E32" w:rsidRDefault="00EB78C2">
            <w:pPr>
              <w:rPr>
                <w:rFonts w:ascii="Century Gothic" w:hAnsi="Century Gothic" w:cs="Arial"/>
                <w:b/>
                <w:bCs/>
              </w:rPr>
            </w:pPr>
            <w:r w:rsidRPr="00D61E32">
              <w:rPr>
                <w:rFonts w:ascii="Century Gothic" w:hAnsi="Century Gothic" w:cs="Arial"/>
                <w:b/>
                <w:bCs/>
              </w:rPr>
              <w:t>Cigna</w:t>
            </w:r>
          </w:p>
          <w:p w14:paraId="346A4D7C" w14:textId="7C202CF3" w:rsidR="00EB78C2" w:rsidRPr="00E70A33" w:rsidRDefault="00EB78C2">
            <w:pPr>
              <w:rPr>
                <w:rFonts w:ascii="Century Gothic" w:hAnsi="Century Gothic" w:cs="Arial"/>
              </w:rPr>
            </w:pPr>
            <w:r w:rsidRPr="00D61E32">
              <w:rPr>
                <w:rFonts w:ascii="Century Gothic" w:hAnsi="Century Gothic" w:cs="Arial"/>
                <w:lang w:val="x-none"/>
              </w:rPr>
              <w:t>Coverage determinations of medical/surgical services and MH/SUD services are made in accordance with evidence-based treatment guidelines by physician peer reviewers licensed in the same or similar specialty area as the treating provider</w:t>
            </w:r>
            <w:bookmarkEnd w:id="16"/>
            <w:r w:rsidR="00E70A33">
              <w:rPr>
                <w:rFonts w:ascii="Century Gothic" w:hAnsi="Century Gothic" w:cs="Arial"/>
                <w:lang w:val="x-none"/>
              </w:rPr>
              <w:t>.</w:t>
            </w:r>
          </w:p>
        </w:tc>
        <w:tc>
          <w:tcPr>
            <w:tcW w:w="2500" w:type="pct"/>
            <w:tcBorders>
              <w:top w:val="single" w:sz="4" w:space="0" w:color="auto"/>
              <w:left w:val="single" w:sz="4" w:space="0" w:color="auto"/>
              <w:bottom w:val="single" w:sz="4" w:space="0" w:color="auto"/>
              <w:right w:val="single" w:sz="4" w:space="0" w:color="auto"/>
            </w:tcBorders>
          </w:tcPr>
          <w:p w14:paraId="36376CE4" w14:textId="52D2F673" w:rsidR="00EB78C2" w:rsidRPr="00D61E32" w:rsidRDefault="00EB78C2">
            <w:pPr>
              <w:rPr>
                <w:rFonts w:ascii="Century Gothic" w:hAnsi="Century Gothic" w:cs="Arial"/>
              </w:rPr>
            </w:pPr>
            <w:r w:rsidRPr="00D61E32">
              <w:rPr>
                <w:rFonts w:ascii="Century Gothic" w:hAnsi="Century Gothic" w:cs="Arial"/>
                <w:b/>
                <w:i/>
              </w:rPr>
              <w:t>Step 4(a): Briefly describe the processes by which Retrospective Review is applied to MH/SUD benefits</w:t>
            </w:r>
            <w:r w:rsidRPr="00D61E32">
              <w:rPr>
                <w:rFonts w:ascii="Century Gothic" w:hAnsi="Century Gothic" w:cs="Arial"/>
              </w:rPr>
              <w:t>:</w:t>
            </w:r>
          </w:p>
          <w:p w14:paraId="02A8D91D" w14:textId="3D93C485" w:rsidR="00EB78C2" w:rsidRPr="00E70A33" w:rsidRDefault="00EB78C2">
            <w:pPr>
              <w:rPr>
                <w:rFonts w:ascii="Century Gothic" w:hAnsi="Century Gothic" w:cs="Arial"/>
              </w:rPr>
            </w:pPr>
            <w:r w:rsidRPr="00D61E32">
              <w:rPr>
                <w:rFonts w:ascii="Century Gothic" w:hAnsi="Century Gothic" w:cs="Arial"/>
              </w:rPr>
              <w:t>*Note: Since the plan defines retrospective review as an authorization post service but pre-payment, the processes for retrospective review are the same as the processes outlined by the plan in the Prior Authorization NQTL.</w:t>
            </w:r>
          </w:p>
          <w:p w14:paraId="1BC2D94E" w14:textId="7EA9C71E" w:rsidR="00EB78C2" w:rsidRPr="00E70A33" w:rsidRDefault="00EB78C2">
            <w:pPr>
              <w:rPr>
                <w:rFonts w:ascii="Century Gothic" w:hAnsi="Century Gothic" w:cs="Arial"/>
              </w:rPr>
            </w:pPr>
            <w:r w:rsidRPr="00D61E32">
              <w:rPr>
                <w:rFonts w:ascii="Century Gothic" w:hAnsi="Century Gothic" w:cs="Arial"/>
                <w:i/>
              </w:rPr>
              <w:t>A. Timelines and deadlines, including the frequency with which re-authorizations are required</w:t>
            </w:r>
            <w:r w:rsidRPr="00D61E32">
              <w:rPr>
                <w:rFonts w:ascii="Century Gothic" w:hAnsi="Century Gothic" w:cs="Arial"/>
              </w:rPr>
              <w:t>:</w:t>
            </w:r>
          </w:p>
          <w:p w14:paraId="1D173E22" w14:textId="77777777" w:rsidR="00EB78C2" w:rsidRPr="00D61E32" w:rsidRDefault="00EB78C2">
            <w:pPr>
              <w:rPr>
                <w:rFonts w:ascii="Century Gothic" w:hAnsi="Century Gothic" w:cs="Arial"/>
                <w:b/>
                <w:bCs/>
              </w:rPr>
            </w:pPr>
            <w:r w:rsidRPr="00D61E32">
              <w:rPr>
                <w:rFonts w:ascii="Century Gothic" w:hAnsi="Century Gothic" w:cs="Arial"/>
                <w:b/>
                <w:bCs/>
              </w:rPr>
              <w:t>Cigna</w:t>
            </w:r>
          </w:p>
          <w:p w14:paraId="099E1610" w14:textId="0524A286" w:rsidR="00EB78C2" w:rsidRPr="00E70A33" w:rsidRDefault="00EB78C2">
            <w:pPr>
              <w:rPr>
                <w:rFonts w:ascii="Century Gothic" w:hAnsi="Century Gothic" w:cs="Arial"/>
              </w:rPr>
            </w:pPr>
            <w:r w:rsidRPr="00D61E32">
              <w:rPr>
                <w:rFonts w:ascii="Century Gothic" w:hAnsi="Century Gothic" w:cs="Arial"/>
              </w:rPr>
              <w:t xml:space="preserve">Same as M/S </w:t>
            </w:r>
          </w:p>
          <w:p w14:paraId="10C11BB6" w14:textId="77777777" w:rsidR="00EB78C2" w:rsidRPr="00D61E32" w:rsidRDefault="00EB78C2">
            <w:pPr>
              <w:rPr>
                <w:rFonts w:ascii="Century Gothic" w:hAnsi="Century Gothic" w:cs="Arial"/>
                <w:iCs/>
              </w:rPr>
            </w:pPr>
          </w:p>
          <w:p w14:paraId="5B50DBEC" w14:textId="77777777" w:rsidR="00EB78C2" w:rsidRPr="00D61E32" w:rsidRDefault="00EB78C2">
            <w:pPr>
              <w:rPr>
                <w:rFonts w:ascii="Century Gothic" w:hAnsi="Century Gothic" w:cs="Arial"/>
              </w:rPr>
            </w:pPr>
            <w:r w:rsidRPr="00D61E32">
              <w:rPr>
                <w:rFonts w:ascii="Century Gothic" w:hAnsi="Century Gothic" w:cs="Arial"/>
                <w:i/>
              </w:rPr>
              <w:t>B. Forms and/or other information required to be submitted by the provider</w:t>
            </w:r>
            <w:r w:rsidRPr="00D61E32">
              <w:rPr>
                <w:rFonts w:ascii="Century Gothic" w:hAnsi="Century Gothic" w:cs="Arial"/>
              </w:rPr>
              <w:t>:</w:t>
            </w:r>
          </w:p>
          <w:p w14:paraId="4811DF86" w14:textId="77777777" w:rsidR="00EB78C2" w:rsidRPr="00D61E32" w:rsidRDefault="00EB78C2">
            <w:pPr>
              <w:rPr>
                <w:rFonts w:ascii="Century Gothic" w:hAnsi="Century Gothic" w:cs="Arial"/>
                <w:b/>
                <w:bCs/>
              </w:rPr>
            </w:pPr>
            <w:r w:rsidRPr="00D61E32">
              <w:rPr>
                <w:rFonts w:ascii="Century Gothic" w:hAnsi="Century Gothic" w:cs="Arial"/>
                <w:b/>
                <w:bCs/>
              </w:rPr>
              <w:t>Cigna</w:t>
            </w:r>
          </w:p>
          <w:p w14:paraId="70B8FC02" w14:textId="77777777" w:rsidR="00EB78C2" w:rsidRPr="00D61E32" w:rsidRDefault="00EB78C2">
            <w:pPr>
              <w:rPr>
                <w:rFonts w:ascii="Century Gothic" w:hAnsi="Century Gothic" w:cs="Arial"/>
              </w:rPr>
            </w:pPr>
            <w:r w:rsidRPr="00D61E32">
              <w:rPr>
                <w:rFonts w:ascii="Century Gothic" w:hAnsi="Century Gothic" w:cs="Arial"/>
              </w:rPr>
              <w:t xml:space="preserve">Same as M/S </w:t>
            </w:r>
          </w:p>
          <w:p w14:paraId="03A8BAE3" w14:textId="77777777" w:rsidR="00EB78C2" w:rsidRPr="00D61E32" w:rsidRDefault="00EB78C2">
            <w:pPr>
              <w:rPr>
                <w:rFonts w:ascii="Century Gothic" w:hAnsi="Century Gothic" w:cs="Arial"/>
              </w:rPr>
            </w:pPr>
          </w:p>
          <w:p w14:paraId="7B164824" w14:textId="77777777" w:rsidR="00EB78C2" w:rsidRPr="00D61E32" w:rsidRDefault="00EB78C2">
            <w:pPr>
              <w:rPr>
                <w:rFonts w:ascii="Century Gothic" w:hAnsi="Century Gothic" w:cs="Arial"/>
                <w:b/>
                <w:bCs/>
              </w:rPr>
            </w:pPr>
          </w:p>
          <w:p w14:paraId="20DA7754" w14:textId="77777777" w:rsidR="00EB78C2" w:rsidRPr="00D61E32" w:rsidRDefault="00EB78C2">
            <w:pPr>
              <w:rPr>
                <w:rFonts w:ascii="Century Gothic" w:hAnsi="Century Gothic" w:cs="Arial"/>
                <w:b/>
                <w:bCs/>
              </w:rPr>
            </w:pPr>
          </w:p>
          <w:p w14:paraId="78209ADE" w14:textId="77777777" w:rsidR="00EB78C2" w:rsidRPr="00D61E32" w:rsidRDefault="00EB78C2">
            <w:pPr>
              <w:rPr>
                <w:rFonts w:ascii="Century Gothic" w:hAnsi="Century Gothic" w:cs="Arial"/>
                <w:b/>
                <w:bCs/>
              </w:rPr>
            </w:pPr>
          </w:p>
          <w:p w14:paraId="15E2302F" w14:textId="77777777" w:rsidR="00EB78C2" w:rsidRPr="00D61E32" w:rsidRDefault="00EB78C2">
            <w:pPr>
              <w:rPr>
                <w:rFonts w:ascii="Century Gothic" w:hAnsi="Century Gothic" w:cs="Arial"/>
                <w:b/>
                <w:bCs/>
              </w:rPr>
            </w:pPr>
          </w:p>
          <w:p w14:paraId="5F217F82" w14:textId="77777777" w:rsidR="00EB78C2" w:rsidRDefault="00EB78C2">
            <w:pPr>
              <w:rPr>
                <w:rFonts w:ascii="Century Gothic" w:hAnsi="Century Gothic" w:cs="Arial"/>
                <w:b/>
                <w:bCs/>
              </w:rPr>
            </w:pPr>
          </w:p>
          <w:p w14:paraId="38694CB0" w14:textId="77777777" w:rsidR="00E70A33" w:rsidRDefault="00E70A33">
            <w:pPr>
              <w:rPr>
                <w:rFonts w:ascii="Century Gothic" w:hAnsi="Century Gothic" w:cs="Arial"/>
                <w:b/>
                <w:bCs/>
              </w:rPr>
            </w:pPr>
          </w:p>
          <w:p w14:paraId="03AF473D" w14:textId="77777777" w:rsidR="00E70A33" w:rsidRPr="00D61E32" w:rsidRDefault="00E70A33">
            <w:pPr>
              <w:rPr>
                <w:rFonts w:ascii="Century Gothic" w:hAnsi="Century Gothic" w:cs="Arial"/>
                <w:b/>
                <w:bCs/>
              </w:rPr>
            </w:pPr>
          </w:p>
          <w:p w14:paraId="73028D3D" w14:textId="77A5DAC0" w:rsidR="00EB78C2" w:rsidRPr="00E70A33" w:rsidRDefault="00EB78C2">
            <w:pPr>
              <w:rPr>
                <w:rFonts w:ascii="Century Gothic" w:hAnsi="Century Gothic" w:cs="Arial"/>
              </w:rPr>
            </w:pPr>
            <w:r w:rsidRPr="00D61E32">
              <w:rPr>
                <w:rFonts w:ascii="Century Gothic" w:hAnsi="Century Gothic" w:cs="Arial"/>
                <w:i/>
              </w:rPr>
              <w:t xml:space="preserve">C. In-operation processes in place to </w:t>
            </w:r>
            <w:proofErr w:type="gramStart"/>
            <w:r w:rsidRPr="00D61E32">
              <w:rPr>
                <w:rFonts w:ascii="Century Gothic" w:hAnsi="Century Gothic" w:cs="Arial"/>
                <w:i/>
              </w:rPr>
              <w:t>make a determination</w:t>
            </w:r>
            <w:proofErr w:type="gramEnd"/>
            <w:r w:rsidRPr="00D61E32">
              <w:rPr>
                <w:rFonts w:ascii="Century Gothic" w:hAnsi="Century Gothic" w:cs="Arial"/>
                <w:i/>
              </w:rPr>
              <w:t xml:space="preserve"> such as distinctions between first and second-level reviews or between administrative and clinical reviews, peer-to-peer reviews, and the use of medical discretion applied in lieu of or in the absence of written criteria and guidelines</w:t>
            </w:r>
            <w:r w:rsidRPr="00D61E32">
              <w:rPr>
                <w:rFonts w:ascii="Century Gothic" w:hAnsi="Century Gothic" w:cs="Arial"/>
              </w:rPr>
              <w:t>:</w:t>
            </w:r>
          </w:p>
          <w:p w14:paraId="43F140E4" w14:textId="77777777" w:rsidR="00EB78C2" w:rsidRPr="00D61E32" w:rsidRDefault="00EB78C2">
            <w:pPr>
              <w:rPr>
                <w:rFonts w:ascii="Century Gothic" w:hAnsi="Century Gothic" w:cs="Arial"/>
                <w:b/>
                <w:bCs/>
              </w:rPr>
            </w:pPr>
            <w:r w:rsidRPr="00D61E32">
              <w:rPr>
                <w:rFonts w:ascii="Century Gothic" w:hAnsi="Century Gothic" w:cs="Arial"/>
                <w:b/>
                <w:bCs/>
              </w:rPr>
              <w:t>Cigna</w:t>
            </w:r>
          </w:p>
          <w:p w14:paraId="19533BAE" w14:textId="77777777" w:rsidR="00EB78C2" w:rsidRPr="00D61E32" w:rsidRDefault="00EB78C2">
            <w:pPr>
              <w:rPr>
                <w:rFonts w:ascii="Century Gothic" w:hAnsi="Century Gothic" w:cs="Arial"/>
              </w:rPr>
            </w:pPr>
            <w:r w:rsidRPr="00D61E32">
              <w:rPr>
                <w:rFonts w:ascii="Century Gothic" w:hAnsi="Century Gothic" w:cs="Arial"/>
              </w:rPr>
              <w:t xml:space="preserve">Same as M/S </w:t>
            </w:r>
          </w:p>
          <w:p w14:paraId="29253550" w14:textId="77777777" w:rsidR="00EB78C2" w:rsidRPr="00D61E32" w:rsidRDefault="00EB78C2">
            <w:pPr>
              <w:rPr>
                <w:rFonts w:ascii="Century Gothic" w:hAnsi="Century Gothic" w:cs="Arial"/>
              </w:rPr>
            </w:pPr>
          </w:p>
          <w:p w14:paraId="137B1342" w14:textId="77777777" w:rsidR="00EB78C2" w:rsidRPr="00D61E32" w:rsidRDefault="00EB78C2">
            <w:pPr>
              <w:rPr>
                <w:rFonts w:ascii="Century Gothic" w:hAnsi="Century Gothic" w:cs="Arial"/>
              </w:rPr>
            </w:pPr>
          </w:p>
          <w:p w14:paraId="739E929B" w14:textId="77777777" w:rsidR="00EB78C2" w:rsidRPr="00D61E32" w:rsidRDefault="00EB78C2">
            <w:pPr>
              <w:rPr>
                <w:rFonts w:ascii="Century Gothic" w:hAnsi="Century Gothic" w:cs="Arial"/>
              </w:rPr>
            </w:pPr>
          </w:p>
          <w:p w14:paraId="256B3707" w14:textId="77777777" w:rsidR="00EB78C2" w:rsidRPr="00D61E32" w:rsidRDefault="00EB78C2">
            <w:pPr>
              <w:rPr>
                <w:rFonts w:ascii="Century Gothic" w:hAnsi="Century Gothic" w:cs="Arial"/>
              </w:rPr>
            </w:pPr>
          </w:p>
          <w:p w14:paraId="1D2ABE9E" w14:textId="77777777" w:rsidR="00EB78C2" w:rsidRPr="00D61E32" w:rsidRDefault="00EB78C2">
            <w:pPr>
              <w:rPr>
                <w:rFonts w:ascii="Century Gothic" w:hAnsi="Century Gothic" w:cs="Arial"/>
              </w:rPr>
            </w:pPr>
          </w:p>
          <w:p w14:paraId="0BDF7A49" w14:textId="77777777" w:rsidR="00EB78C2" w:rsidRPr="00D61E32" w:rsidRDefault="00EB78C2">
            <w:pPr>
              <w:rPr>
                <w:rFonts w:ascii="Century Gothic" w:hAnsi="Century Gothic" w:cs="Arial"/>
                <w:b/>
                <w:bCs/>
              </w:rPr>
            </w:pPr>
          </w:p>
          <w:p w14:paraId="1762EF8E" w14:textId="77777777" w:rsidR="00EB78C2" w:rsidRPr="00D61E32" w:rsidRDefault="00EB78C2">
            <w:pPr>
              <w:rPr>
                <w:rFonts w:ascii="Century Gothic" w:hAnsi="Century Gothic" w:cs="Arial"/>
                <w:b/>
                <w:bCs/>
              </w:rPr>
            </w:pPr>
          </w:p>
          <w:p w14:paraId="498CD46E" w14:textId="77777777" w:rsidR="00EB78C2" w:rsidRPr="00D61E32" w:rsidRDefault="00EB78C2">
            <w:pPr>
              <w:rPr>
                <w:rFonts w:ascii="Century Gothic" w:hAnsi="Century Gothic" w:cs="Arial"/>
                <w:b/>
                <w:bCs/>
              </w:rPr>
            </w:pPr>
          </w:p>
          <w:p w14:paraId="3ABE627E" w14:textId="77777777" w:rsidR="00EB78C2" w:rsidRPr="00D61E32" w:rsidRDefault="00EB78C2">
            <w:pPr>
              <w:rPr>
                <w:rFonts w:ascii="Century Gothic" w:hAnsi="Century Gothic" w:cs="Arial"/>
                <w:b/>
                <w:bCs/>
              </w:rPr>
            </w:pPr>
          </w:p>
          <w:p w14:paraId="34D55025" w14:textId="77777777" w:rsidR="00EB78C2" w:rsidRPr="00D61E32" w:rsidRDefault="00EB78C2">
            <w:pPr>
              <w:rPr>
                <w:rFonts w:ascii="Century Gothic" w:hAnsi="Century Gothic" w:cs="Arial"/>
                <w:b/>
                <w:bCs/>
              </w:rPr>
            </w:pPr>
          </w:p>
          <w:p w14:paraId="76706325" w14:textId="77777777" w:rsidR="00EB78C2" w:rsidRPr="00D61E32" w:rsidRDefault="00EB78C2">
            <w:pPr>
              <w:rPr>
                <w:rFonts w:ascii="Century Gothic" w:hAnsi="Century Gothic" w:cs="Arial"/>
                <w:b/>
                <w:bCs/>
              </w:rPr>
            </w:pPr>
          </w:p>
          <w:p w14:paraId="50987C20" w14:textId="77777777" w:rsidR="00EB78C2" w:rsidRPr="00D61E32" w:rsidRDefault="00EB78C2">
            <w:pPr>
              <w:rPr>
                <w:rFonts w:ascii="Century Gothic" w:hAnsi="Century Gothic" w:cs="Arial"/>
                <w:b/>
                <w:bCs/>
              </w:rPr>
            </w:pPr>
          </w:p>
          <w:p w14:paraId="04DEB0DE" w14:textId="77777777" w:rsidR="00EB78C2" w:rsidRPr="00D61E32" w:rsidRDefault="00EB78C2">
            <w:pPr>
              <w:rPr>
                <w:rFonts w:ascii="Century Gothic" w:hAnsi="Century Gothic" w:cs="Arial"/>
                <w:b/>
                <w:bCs/>
              </w:rPr>
            </w:pPr>
          </w:p>
          <w:p w14:paraId="6E33F4EF" w14:textId="77777777" w:rsidR="00EB78C2" w:rsidRPr="00D61E32" w:rsidRDefault="00EB78C2">
            <w:pPr>
              <w:rPr>
                <w:rFonts w:ascii="Century Gothic" w:hAnsi="Century Gothic" w:cs="Arial"/>
                <w:b/>
                <w:bCs/>
              </w:rPr>
            </w:pPr>
          </w:p>
          <w:p w14:paraId="5A486F2E" w14:textId="77777777" w:rsidR="00EB78C2" w:rsidRPr="00D61E32" w:rsidRDefault="00EB78C2">
            <w:pPr>
              <w:rPr>
                <w:rFonts w:ascii="Century Gothic" w:hAnsi="Century Gothic" w:cs="Arial"/>
                <w:b/>
                <w:bCs/>
              </w:rPr>
            </w:pPr>
          </w:p>
          <w:p w14:paraId="27DE2961" w14:textId="77777777" w:rsidR="00EB78C2" w:rsidRPr="00D61E32" w:rsidRDefault="00EB78C2">
            <w:pPr>
              <w:rPr>
                <w:rFonts w:ascii="Century Gothic" w:hAnsi="Century Gothic" w:cs="Arial"/>
                <w:b/>
                <w:bCs/>
              </w:rPr>
            </w:pPr>
          </w:p>
          <w:p w14:paraId="10E636C6" w14:textId="77777777" w:rsidR="00EB78C2" w:rsidRPr="00D61E32" w:rsidRDefault="00EB78C2">
            <w:pPr>
              <w:rPr>
                <w:rFonts w:ascii="Century Gothic" w:hAnsi="Century Gothic" w:cs="Arial"/>
                <w:b/>
                <w:bCs/>
              </w:rPr>
            </w:pPr>
          </w:p>
          <w:p w14:paraId="6ACFF6CF" w14:textId="77777777" w:rsidR="00EB78C2" w:rsidRPr="00D61E32" w:rsidRDefault="00EB78C2">
            <w:pPr>
              <w:rPr>
                <w:rFonts w:ascii="Century Gothic" w:hAnsi="Century Gothic" w:cs="Arial"/>
                <w:b/>
                <w:bCs/>
              </w:rPr>
            </w:pPr>
          </w:p>
          <w:p w14:paraId="473C5BD5" w14:textId="77777777" w:rsidR="00EB78C2" w:rsidRPr="00D61E32" w:rsidRDefault="00EB78C2">
            <w:pPr>
              <w:rPr>
                <w:rFonts w:ascii="Century Gothic" w:hAnsi="Century Gothic" w:cs="Arial"/>
                <w:b/>
                <w:bCs/>
              </w:rPr>
            </w:pPr>
          </w:p>
          <w:p w14:paraId="719BE54D" w14:textId="77777777" w:rsidR="00EB78C2" w:rsidRPr="00D61E32" w:rsidRDefault="00EB78C2">
            <w:pPr>
              <w:rPr>
                <w:rFonts w:ascii="Century Gothic" w:hAnsi="Century Gothic" w:cs="Arial"/>
                <w:b/>
                <w:bCs/>
              </w:rPr>
            </w:pPr>
          </w:p>
          <w:p w14:paraId="04B89C89" w14:textId="77777777" w:rsidR="00EB78C2" w:rsidRPr="00D61E32" w:rsidRDefault="00EB78C2">
            <w:pPr>
              <w:rPr>
                <w:rFonts w:ascii="Century Gothic" w:hAnsi="Century Gothic" w:cs="Arial"/>
                <w:b/>
                <w:bCs/>
              </w:rPr>
            </w:pPr>
          </w:p>
          <w:p w14:paraId="3959D410" w14:textId="77777777" w:rsidR="00EB78C2" w:rsidRPr="00D61E32" w:rsidRDefault="00EB78C2">
            <w:pPr>
              <w:rPr>
                <w:rFonts w:ascii="Century Gothic" w:hAnsi="Century Gothic" w:cs="Arial"/>
                <w:b/>
                <w:bCs/>
              </w:rPr>
            </w:pPr>
          </w:p>
          <w:p w14:paraId="46294EAA" w14:textId="77777777" w:rsidR="00EB78C2" w:rsidRPr="00D61E32" w:rsidRDefault="00EB78C2">
            <w:pPr>
              <w:rPr>
                <w:rFonts w:ascii="Century Gothic" w:hAnsi="Century Gothic" w:cs="Arial"/>
                <w:b/>
                <w:bCs/>
              </w:rPr>
            </w:pPr>
          </w:p>
          <w:p w14:paraId="39BBBC54" w14:textId="77777777" w:rsidR="00EB78C2" w:rsidRPr="00D61E32" w:rsidRDefault="00EB78C2">
            <w:pPr>
              <w:rPr>
                <w:rFonts w:ascii="Century Gothic" w:hAnsi="Century Gothic" w:cs="Arial"/>
                <w:b/>
                <w:bCs/>
              </w:rPr>
            </w:pPr>
          </w:p>
          <w:p w14:paraId="7234C3EB" w14:textId="77777777" w:rsidR="00EB78C2" w:rsidRPr="00D61E32" w:rsidRDefault="00EB78C2">
            <w:pPr>
              <w:rPr>
                <w:rFonts w:ascii="Century Gothic" w:hAnsi="Century Gothic" w:cs="Arial"/>
                <w:b/>
                <w:bCs/>
              </w:rPr>
            </w:pPr>
          </w:p>
          <w:p w14:paraId="6D4D13AB" w14:textId="77777777" w:rsidR="00EB78C2" w:rsidRPr="00D61E32" w:rsidRDefault="00EB78C2">
            <w:pPr>
              <w:rPr>
                <w:rFonts w:ascii="Century Gothic" w:hAnsi="Century Gothic" w:cs="Arial"/>
                <w:b/>
                <w:bCs/>
              </w:rPr>
            </w:pPr>
          </w:p>
          <w:p w14:paraId="40F8665B" w14:textId="77777777" w:rsidR="00EB78C2" w:rsidRPr="00D61E32" w:rsidRDefault="00EB78C2">
            <w:pPr>
              <w:rPr>
                <w:rFonts w:ascii="Century Gothic" w:hAnsi="Century Gothic" w:cs="Arial"/>
                <w:b/>
                <w:bCs/>
              </w:rPr>
            </w:pPr>
          </w:p>
          <w:p w14:paraId="147B85CE" w14:textId="77777777" w:rsidR="00EB78C2" w:rsidRPr="00D61E32" w:rsidRDefault="00EB78C2">
            <w:pPr>
              <w:rPr>
                <w:rFonts w:ascii="Century Gothic" w:hAnsi="Century Gothic" w:cs="Arial"/>
                <w:b/>
                <w:bCs/>
              </w:rPr>
            </w:pPr>
          </w:p>
          <w:p w14:paraId="61C8F405" w14:textId="77777777" w:rsidR="00EB78C2" w:rsidRDefault="00EB78C2">
            <w:pPr>
              <w:rPr>
                <w:rFonts w:ascii="Century Gothic" w:hAnsi="Century Gothic" w:cs="Arial"/>
                <w:b/>
                <w:bCs/>
              </w:rPr>
            </w:pPr>
          </w:p>
          <w:p w14:paraId="6FF265CC" w14:textId="77777777" w:rsidR="00E70A33" w:rsidRDefault="00E70A33">
            <w:pPr>
              <w:rPr>
                <w:rFonts w:ascii="Century Gothic" w:hAnsi="Century Gothic" w:cs="Arial"/>
                <w:b/>
                <w:bCs/>
              </w:rPr>
            </w:pPr>
          </w:p>
          <w:p w14:paraId="237308BB" w14:textId="77777777" w:rsidR="00E70A33" w:rsidRDefault="00E70A33">
            <w:pPr>
              <w:rPr>
                <w:rFonts w:ascii="Century Gothic" w:hAnsi="Century Gothic" w:cs="Arial"/>
                <w:b/>
                <w:bCs/>
              </w:rPr>
            </w:pPr>
          </w:p>
          <w:p w14:paraId="3F96DF4F" w14:textId="77777777" w:rsidR="00E70A33" w:rsidRDefault="00E70A33">
            <w:pPr>
              <w:rPr>
                <w:rFonts w:ascii="Century Gothic" w:hAnsi="Century Gothic" w:cs="Arial"/>
                <w:b/>
                <w:bCs/>
              </w:rPr>
            </w:pPr>
          </w:p>
          <w:p w14:paraId="4B074CB2" w14:textId="77777777" w:rsidR="00E70A33" w:rsidRDefault="00E70A33">
            <w:pPr>
              <w:rPr>
                <w:rFonts w:ascii="Century Gothic" w:hAnsi="Century Gothic" w:cs="Arial"/>
                <w:b/>
                <w:bCs/>
              </w:rPr>
            </w:pPr>
          </w:p>
          <w:p w14:paraId="58DFC1E2" w14:textId="77777777" w:rsidR="00E70A33" w:rsidRDefault="00E70A33">
            <w:pPr>
              <w:rPr>
                <w:rFonts w:ascii="Century Gothic" w:hAnsi="Century Gothic" w:cs="Arial"/>
                <w:b/>
                <w:bCs/>
              </w:rPr>
            </w:pPr>
          </w:p>
          <w:p w14:paraId="658CD00B" w14:textId="77777777" w:rsidR="00E70A33" w:rsidRDefault="00E70A33">
            <w:pPr>
              <w:rPr>
                <w:rFonts w:ascii="Century Gothic" w:hAnsi="Century Gothic" w:cs="Arial"/>
                <w:b/>
                <w:bCs/>
              </w:rPr>
            </w:pPr>
          </w:p>
          <w:p w14:paraId="7BD6E375" w14:textId="77777777" w:rsidR="00E70A33" w:rsidRPr="00D61E32" w:rsidRDefault="00E70A33">
            <w:pPr>
              <w:rPr>
                <w:rFonts w:ascii="Century Gothic" w:hAnsi="Century Gothic" w:cs="Arial"/>
                <w:b/>
                <w:bCs/>
              </w:rPr>
            </w:pPr>
          </w:p>
          <w:p w14:paraId="754648E4" w14:textId="77777777" w:rsidR="00EB78C2" w:rsidRPr="00D61E32" w:rsidRDefault="00EB78C2">
            <w:pPr>
              <w:rPr>
                <w:rFonts w:ascii="Century Gothic" w:hAnsi="Century Gothic" w:cs="Arial"/>
                <w:b/>
                <w:bCs/>
              </w:rPr>
            </w:pPr>
          </w:p>
          <w:p w14:paraId="2467544E" w14:textId="77777777" w:rsidR="00EB78C2" w:rsidRPr="00D61E32" w:rsidRDefault="00EB78C2">
            <w:pPr>
              <w:rPr>
                <w:rFonts w:ascii="Century Gothic" w:hAnsi="Century Gothic" w:cs="Arial"/>
              </w:rPr>
            </w:pPr>
            <w:r w:rsidRPr="00D61E32">
              <w:rPr>
                <w:rFonts w:ascii="Century Gothic" w:hAnsi="Century Gothic" w:cs="Arial"/>
                <w:i/>
              </w:rPr>
              <w:t>D. Minimum qualifications for reviewers</w:t>
            </w:r>
            <w:r w:rsidRPr="00D61E32">
              <w:rPr>
                <w:rFonts w:ascii="Century Gothic" w:hAnsi="Century Gothic" w:cs="Arial"/>
              </w:rPr>
              <w:t>:</w:t>
            </w:r>
          </w:p>
          <w:p w14:paraId="2B1A0962" w14:textId="77777777" w:rsidR="00EB78C2" w:rsidRPr="00D61E32" w:rsidRDefault="00EB78C2">
            <w:pPr>
              <w:rPr>
                <w:rFonts w:ascii="Century Gothic" w:hAnsi="Century Gothic" w:cs="Arial"/>
                <w:b/>
                <w:bCs/>
              </w:rPr>
            </w:pPr>
            <w:r w:rsidRPr="00D61E32">
              <w:rPr>
                <w:rFonts w:ascii="Century Gothic" w:hAnsi="Century Gothic" w:cs="Arial"/>
                <w:b/>
                <w:bCs/>
              </w:rPr>
              <w:t>Cigna</w:t>
            </w:r>
          </w:p>
          <w:p w14:paraId="4CB96E34" w14:textId="796961C2" w:rsidR="00EB78C2" w:rsidRPr="00E70A33" w:rsidRDefault="00EB78C2">
            <w:pPr>
              <w:rPr>
                <w:rFonts w:ascii="Century Gothic" w:hAnsi="Century Gothic" w:cs="Arial"/>
              </w:rPr>
            </w:pPr>
            <w:r w:rsidRPr="00D61E32">
              <w:rPr>
                <w:rFonts w:ascii="Century Gothic" w:hAnsi="Century Gothic" w:cs="Arial"/>
                <w:lang w:val="x-none"/>
              </w:rPr>
              <w:t>Coverage determinations of medical/surgical services and MH/SUD services are made in accordance with evidence-based treatment guidelines by physician peer reviewers licensed in the same or similar specialty area as the treating provider.</w:t>
            </w:r>
          </w:p>
        </w:tc>
      </w:tr>
      <w:tr w:rsidR="00EB78C2" w:rsidRPr="00D61E32" w14:paraId="4714EA8E" w14:textId="77777777" w:rsidTr="0026724E">
        <w:trPr>
          <w:trHeight w:val="1430"/>
        </w:trPr>
        <w:tc>
          <w:tcPr>
            <w:tcW w:w="2500" w:type="pct"/>
            <w:tcBorders>
              <w:top w:val="single" w:sz="4" w:space="0" w:color="auto"/>
              <w:left w:val="single" w:sz="4" w:space="0" w:color="auto"/>
              <w:bottom w:val="single" w:sz="4" w:space="0" w:color="auto"/>
              <w:right w:val="single" w:sz="4" w:space="0" w:color="auto"/>
            </w:tcBorders>
          </w:tcPr>
          <w:p w14:paraId="5CE966A7" w14:textId="5AD83680" w:rsidR="00EB78C2" w:rsidRPr="00E70A33" w:rsidRDefault="00EB78C2">
            <w:pPr>
              <w:rPr>
                <w:rFonts w:ascii="Century Gothic" w:hAnsi="Century Gothic" w:cs="Arial"/>
                <w:b/>
                <w:i/>
              </w:rPr>
            </w:pPr>
            <w:r w:rsidRPr="00D61E32">
              <w:rPr>
                <w:rFonts w:ascii="Century Gothic" w:hAnsi="Century Gothic" w:cs="Arial"/>
                <w:b/>
                <w:i/>
              </w:rPr>
              <w:t>Step 4(b): Identify and define the factors and processes that are used to monitor and evaluate the application of Prior Authorization for M/S benefits</w:t>
            </w:r>
            <w:r w:rsidRPr="00D61E32">
              <w:rPr>
                <w:rFonts w:ascii="Century Gothic" w:hAnsi="Century Gothic" w:cs="Arial"/>
              </w:rPr>
              <w:t>:</w:t>
            </w:r>
          </w:p>
          <w:p w14:paraId="76BFCB3B" w14:textId="78E87719" w:rsidR="00EB78C2" w:rsidRPr="00E70A33" w:rsidRDefault="00EB78C2">
            <w:pPr>
              <w:rPr>
                <w:rFonts w:ascii="Century Gothic" w:hAnsi="Century Gothic" w:cs="Arial"/>
                <w:b/>
                <w:bCs/>
              </w:rPr>
            </w:pPr>
            <w:r w:rsidRPr="00D61E32">
              <w:rPr>
                <w:rFonts w:ascii="Century Gothic" w:hAnsi="Century Gothic" w:cs="Arial"/>
                <w:b/>
                <w:bCs/>
              </w:rPr>
              <w:t xml:space="preserve">2023 Data </w:t>
            </w:r>
            <w:r w:rsidRPr="00D61E32">
              <w:rPr>
                <w:rFonts w:ascii="Century Gothic" w:hAnsi="Century Gothic" w:cs="Arial"/>
              </w:rPr>
              <w:t>– Wellfleet delegates Utilization Management, including retrospective review, to Cigna.  The below data represents an analysis of retrospective review requests across Wellfleet’s Book of Business from January 1, 2023 – December 31, 2023.</w:t>
            </w:r>
            <w:r w:rsidRPr="00D61E32">
              <w:rPr>
                <w:rFonts w:ascii="Century Gothic" w:hAnsi="Century Gothic" w:cs="Arial"/>
                <w:b/>
                <w:bCs/>
              </w:rPr>
              <w:t xml:space="preserve"> </w:t>
            </w:r>
          </w:p>
          <w:p w14:paraId="36E47CF0" w14:textId="77777777" w:rsidR="00EB78C2" w:rsidRPr="00D61E32" w:rsidRDefault="00EB78C2">
            <w:pPr>
              <w:rPr>
                <w:rFonts w:ascii="Century Gothic" w:hAnsi="Century Gothic" w:cs="Arial"/>
                <w:b/>
                <w:bCs/>
              </w:rPr>
            </w:pPr>
            <w:r w:rsidRPr="00D61E32">
              <w:rPr>
                <w:rFonts w:ascii="Century Gothic" w:hAnsi="Century Gothic" w:cs="Arial"/>
                <w:b/>
                <w:bCs/>
              </w:rPr>
              <w:t xml:space="preserve">Inpatient Prior Authorization Denial Rates </w:t>
            </w:r>
          </w:p>
          <w:tbl>
            <w:tblPr>
              <w:tblW w:w="4540" w:type="dxa"/>
              <w:tblLook w:val="04A0" w:firstRow="1" w:lastRow="0" w:firstColumn="1" w:lastColumn="0" w:noHBand="0" w:noVBand="1"/>
            </w:tblPr>
            <w:tblGrid>
              <w:gridCol w:w="1980"/>
              <w:gridCol w:w="1280"/>
              <w:gridCol w:w="1280"/>
            </w:tblGrid>
            <w:tr w:rsidR="00EB78C2" w:rsidRPr="00D61E32" w14:paraId="71D68E6E" w14:textId="77777777">
              <w:trPr>
                <w:trHeight w:val="580"/>
              </w:trPr>
              <w:tc>
                <w:tcPr>
                  <w:tcW w:w="1980" w:type="dxa"/>
                  <w:tcBorders>
                    <w:top w:val="single" w:sz="8" w:space="0" w:color="auto"/>
                    <w:left w:val="single" w:sz="8" w:space="0" w:color="auto"/>
                    <w:bottom w:val="single" w:sz="4" w:space="0" w:color="auto"/>
                    <w:right w:val="single" w:sz="8" w:space="0" w:color="auto"/>
                  </w:tcBorders>
                  <w:shd w:val="clear" w:color="auto" w:fill="D9D9D9"/>
                  <w:vAlign w:val="bottom"/>
                  <w:hideMark/>
                </w:tcPr>
                <w:p w14:paraId="7699D4C8"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UR Service Level </w:t>
                  </w:r>
                </w:p>
              </w:tc>
              <w:tc>
                <w:tcPr>
                  <w:tcW w:w="1280" w:type="dxa"/>
                  <w:tcBorders>
                    <w:top w:val="single" w:sz="8" w:space="0" w:color="auto"/>
                    <w:left w:val="nil"/>
                    <w:bottom w:val="single" w:sz="4" w:space="0" w:color="auto"/>
                    <w:right w:val="single" w:sz="4" w:space="0" w:color="auto"/>
                  </w:tcBorders>
                  <w:shd w:val="clear" w:color="auto" w:fill="D9D9D9"/>
                  <w:vAlign w:val="bottom"/>
                  <w:hideMark/>
                </w:tcPr>
                <w:p w14:paraId="0684F572" w14:textId="77777777" w:rsidR="00EB78C2" w:rsidRPr="00D61E32" w:rsidRDefault="00EB78C2">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Inpt</w:t>
                  </w:r>
                  <w:proofErr w:type="spellEnd"/>
                  <w:r w:rsidRPr="00D61E32">
                    <w:rPr>
                      <w:rFonts w:ascii="Century Gothic" w:eastAsia="Times New Roman" w:hAnsi="Century Gothic" w:cs="Calibri"/>
                      <w:b/>
                      <w:bCs/>
                      <w:color w:val="000000"/>
                    </w:rPr>
                    <w:t xml:space="preserve"> </w:t>
                  </w:r>
                </w:p>
              </w:tc>
              <w:tc>
                <w:tcPr>
                  <w:tcW w:w="1280" w:type="dxa"/>
                  <w:tcBorders>
                    <w:top w:val="single" w:sz="8" w:space="0" w:color="auto"/>
                    <w:left w:val="nil"/>
                    <w:bottom w:val="single" w:sz="4" w:space="0" w:color="auto"/>
                    <w:right w:val="nil"/>
                  </w:tcBorders>
                  <w:shd w:val="clear" w:color="auto" w:fill="D9D9D9"/>
                  <w:vAlign w:val="bottom"/>
                  <w:hideMark/>
                </w:tcPr>
                <w:p w14:paraId="35C8C266" w14:textId="77777777" w:rsidR="00EB78C2" w:rsidRPr="00D61E32" w:rsidRDefault="00EB78C2">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Inpt</w:t>
                  </w:r>
                  <w:proofErr w:type="spellEnd"/>
                  <w:r w:rsidRPr="00D61E32">
                    <w:rPr>
                      <w:rFonts w:ascii="Century Gothic" w:eastAsia="Times New Roman" w:hAnsi="Century Gothic" w:cs="Calibri"/>
                      <w:b/>
                      <w:bCs/>
                      <w:color w:val="000000"/>
                    </w:rPr>
                    <w:t xml:space="preserve"> </w:t>
                  </w:r>
                </w:p>
              </w:tc>
            </w:tr>
            <w:tr w:rsidR="00EB78C2" w:rsidRPr="00D61E32" w14:paraId="5FCE9454" w14:textId="77777777">
              <w:trPr>
                <w:trHeight w:val="290"/>
              </w:trPr>
              <w:tc>
                <w:tcPr>
                  <w:tcW w:w="1980" w:type="dxa"/>
                  <w:tcBorders>
                    <w:top w:val="nil"/>
                    <w:left w:val="single" w:sz="8" w:space="0" w:color="auto"/>
                    <w:bottom w:val="single" w:sz="4" w:space="0" w:color="auto"/>
                    <w:right w:val="single" w:sz="8" w:space="0" w:color="auto"/>
                  </w:tcBorders>
                  <w:shd w:val="clear" w:color="auto" w:fill="D9D9D9"/>
                  <w:noWrap/>
                  <w:vAlign w:val="bottom"/>
                  <w:hideMark/>
                </w:tcPr>
                <w:p w14:paraId="4F2307D3"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NETWORK </w:t>
                  </w:r>
                </w:p>
              </w:tc>
              <w:tc>
                <w:tcPr>
                  <w:tcW w:w="1280" w:type="dxa"/>
                  <w:tcBorders>
                    <w:top w:val="nil"/>
                    <w:left w:val="nil"/>
                    <w:bottom w:val="single" w:sz="4" w:space="0" w:color="auto"/>
                    <w:right w:val="single" w:sz="4" w:space="0" w:color="auto"/>
                  </w:tcBorders>
                  <w:shd w:val="clear" w:color="auto" w:fill="D9D9D9"/>
                  <w:noWrap/>
                  <w:vAlign w:val="bottom"/>
                  <w:hideMark/>
                </w:tcPr>
                <w:p w14:paraId="0DEFF8DB"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INN</w:t>
                  </w:r>
                </w:p>
              </w:tc>
              <w:tc>
                <w:tcPr>
                  <w:tcW w:w="1280" w:type="dxa"/>
                  <w:tcBorders>
                    <w:top w:val="nil"/>
                    <w:left w:val="nil"/>
                    <w:bottom w:val="single" w:sz="4" w:space="0" w:color="auto"/>
                    <w:right w:val="nil"/>
                  </w:tcBorders>
                  <w:shd w:val="clear" w:color="auto" w:fill="D9D9D9"/>
                  <w:noWrap/>
                  <w:vAlign w:val="bottom"/>
                  <w:hideMark/>
                </w:tcPr>
                <w:p w14:paraId="4A2A9CCF"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OON</w:t>
                  </w:r>
                </w:p>
              </w:tc>
            </w:tr>
            <w:tr w:rsidR="00EB78C2" w:rsidRPr="00D61E32" w14:paraId="7E0D299D" w14:textId="77777777">
              <w:trPr>
                <w:trHeight w:val="250"/>
              </w:trPr>
              <w:tc>
                <w:tcPr>
                  <w:tcW w:w="1980" w:type="dxa"/>
                  <w:tcBorders>
                    <w:top w:val="nil"/>
                    <w:left w:val="single" w:sz="8" w:space="0" w:color="auto"/>
                    <w:bottom w:val="single" w:sz="8" w:space="0" w:color="auto"/>
                    <w:right w:val="single" w:sz="8" w:space="0" w:color="auto"/>
                  </w:tcBorders>
                  <w:shd w:val="clear" w:color="auto" w:fill="D9D9D9"/>
                  <w:noWrap/>
                  <w:vAlign w:val="bottom"/>
                  <w:hideMark/>
                </w:tcPr>
                <w:p w14:paraId="131D4045"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Auth Type</w:t>
                  </w:r>
                </w:p>
              </w:tc>
              <w:tc>
                <w:tcPr>
                  <w:tcW w:w="1280" w:type="dxa"/>
                  <w:tcBorders>
                    <w:top w:val="nil"/>
                    <w:left w:val="nil"/>
                    <w:bottom w:val="single" w:sz="8" w:space="0" w:color="auto"/>
                    <w:right w:val="single" w:sz="4" w:space="0" w:color="auto"/>
                  </w:tcBorders>
                  <w:shd w:val="clear" w:color="auto" w:fill="D9D9D9"/>
                  <w:noWrap/>
                  <w:vAlign w:val="bottom"/>
                  <w:hideMark/>
                </w:tcPr>
                <w:p w14:paraId="6437642A"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Retro</w:t>
                  </w:r>
                </w:p>
              </w:tc>
              <w:tc>
                <w:tcPr>
                  <w:tcW w:w="1280" w:type="dxa"/>
                  <w:tcBorders>
                    <w:top w:val="nil"/>
                    <w:left w:val="nil"/>
                    <w:bottom w:val="single" w:sz="8" w:space="0" w:color="auto"/>
                    <w:right w:val="nil"/>
                  </w:tcBorders>
                  <w:shd w:val="clear" w:color="auto" w:fill="D9D9D9"/>
                  <w:noWrap/>
                  <w:vAlign w:val="bottom"/>
                  <w:hideMark/>
                </w:tcPr>
                <w:p w14:paraId="3C0A9BF0"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Retro</w:t>
                  </w:r>
                </w:p>
              </w:tc>
            </w:tr>
            <w:tr w:rsidR="00EB78C2" w:rsidRPr="00D61E32" w14:paraId="2A46C86D" w14:textId="77777777">
              <w:trPr>
                <w:trHeight w:val="300"/>
              </w:trPr>
              <w:tc>
                <w:tcPr>
                  <w:tcW w:w="1980" w:type="dxa"/>
                  <w:tcBorders>
                    <w:top w:val="nil"/>
                    <w:left w:val="single" w:sz="8" w:space="0" w:color="auto"/>
                    <w:bottom w:val="single" w:sz="4" w:space="0" w:color="auto"/>
                    <w:right w:val="single" w:sz="8" w:space="0" w:color="auto"/>
                  </w:tcBorders>
                  <w:shd w:val="clear" w:color="auto" w:fill="757171"/>
                  <w:noWrap/>
                  <w:vAlign w:val="bottom"/>
                  <w:hideMark/>
                </w:tcPr>
                <w:p w14:paraId="5A026DA9"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MED SURG </w:t>
                  </w:r>
                </w:p>
              </w:tc>
              <w:tc>
                <w:tcPr>
                  <w:tcW w:w="1280" w:type="dxa"/>
                  <w:tcBorders>
                    <w:top w:val="nil"/>
                    <w:left w:val="nil"/>
                    <w:bottom w:val="single" w:sz="4" w:space="0" w:color="auto"/>
                    <w:right w:val="single" w:sz="4" w:space="0" w:color="auto"/>
                  </w:tcBorders>
                  <w:shd w:val="clear" w:color="auto" w:fill="757171"/>
                  <w:noWrap/>
                  <w:vAlign w:val="bottom"/>
                  <w:hideMark/>
                </w:tcPr>
                <w:p w14:paraId="2A35CF87"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348</w:t>
                  </w:r>
                </w:p>
              </w:tc>
              <w:tc>
                <w:tcPr>
                  <w:tcW w:w="1280" w:type="dxa"/>
                  <w:tcBorders>
                    <w:top w:val="nil"/>
                    <w:left w:val="nil"/>
                    <w:bottom w:val="single" w:sz="4" w:space="0" w:color="auto"/>
                    <w:right w:val="nil"/>
                  </w:tcBorders>
                  <w:shd w:val="clear" w:color="auto" w:fill="757171"/>
                  <w:noWrap/>
                  <w:vAlign w:val="bottom"/>
                  <w:hideMark/>
                </w:tcPr>
                <w:p w14:paraId="6D672D6E"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4</w:t>
                  </w:r>
                </w:p>
              </w:tc>
            </w:tr>
            <w:tr w:rsidR="00EB78C2" w:rsidRPr="00D61E32" w14:paraId="6AA98788" w14:textId="77777777">
              <w:trPr>
                <w:trHeight w:val="310"/>
              </w:trPr>
              <w:tc>
                <w:tcPr>
                  <w:tcW w:w="1980" w:type="dxa"/>
                  <w:tcBorders>
                    <w:top w:val="nil"/>
                    <w:left w:val="single" w:sz="8" w:space="0" w:color="auto"/>
                    <w:bottom w:val="single" w:sz="4" w:space="0" w:color="auto"/>
                    <w:right w:val="single" w:sz="8" w:space="0" w:color="auto"/>
                  </w:tcBorders>
                  <w:noWrap/>
                  <w:vAlign w:val="bottom"/>
                  <w:hideMark/>
                </w:tcPr>
                <w:p w14:paraId="7883D3FD"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Approvals</w:t>
                  </w:r>
                </w:p>
              </w:tc>
              <w:tc>
                <w:tcPr>
                  <w:tcW w:w="1280" w:type="dxa"/>
                  <w:tcBorders>
                    <w:top w:val="nil"/>
                    <w:left w:val="nil"/>
                    <w:bottom w:val="single" w:sz="4" w:space="0" w:color="auto"/>
                    <w:right w:val="single" w:sz="4" w:space="0" w:color="auto"/>
                  </w:tcBorders>
                  <w:noWrap/>
                  <w:vAlign w:val="bottom"/>
                  <w:hideMark/>
                </w:tcPr>
                <w:p w14:paraId="74687B4E"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255</w:t>
                  </w:r>
                </w:p>
              </w:tc>
              <w:tc>
                <w:tcPr>
                  <w:tcW w:w="1280" w:type="dxa"/>
                  <w:tcBorders>
                    <w:top w:val="nil"/>
                    <w:left w:val="nil"/>
                    <w:bottom w:val="single" w:sz="4" w:space="0" w:color="auto"/>
                    <w:right w:val="nil"/>
                  </w:tcBorders>
                  <w:noWrap/>
                  <w:vAlign w:val="bottom"/>
                  <w:hideMark/>
                </w:tcPr>
                <w:p w14:paraId="674F5CD7"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3</w:t>
                  </w:r>
                </w:p>
              </w:tc>
            </w:tr>
            <w:tr w:rsidR="00EB78C2" w:rsidRPr="00D61E32" w14:paraId="1E0C2E81" w14:textId="77777777">
              <w:trPr>
                <w:trHeight w:val="320"/>
              </w:trPr>
              <w:tc>
                <w:tcPr>
                  <w:tcW w:w="1980" w:type="dxa"/>
                  <w:tcBorders>
                    <w:top w:val="nil"/>
                    <w:left w:val="single" w:sz="8" w:space="0" w:color="auto"/>
                    <w:bottom w:val="nil"/>
                    <w:right w:val="single" w:sz="8" w:space="0" w:color="auto"/>
                  </w:tcBorders>
                  <w:noWrap/>
                  <w:vAlign w:val="bottom"/>
                  <w:hideMark/>
                </w:tcPr>
                <w:p w14:paraId="04C16E09"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Denials</w:t>
                  </w:r>
                </w:p>
              </w:tc>
              <w:tc>
                <w:tcPr>
                  <w:tcW w:w="1280" w:type="dxa"/>
                  <w:tcBorders>
                    <w:top w:val="nil"/>
                    <w:left w:val="nil"/>
                    <w:bottom w:val="single" w:sz="4" w:space="0" w:color="auto"/>
                    <w:right w:val="single" w:sz="4" w:space="0" w:color="auto"/>
                  </w:tcBorders>
                  <w:noWrap/>
                  <w:vAlign w:val="bottom"/>
                  <w:hideMark/>
                </w:tcPr>
                <w:p w14:paraId="0BA70BE4"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93</w:t>
                  </w:r>
                </w:p>
              </w:tc>
              <w:tc>
                <w:tcPr>
                  <w:tcW w:w="1280" w:type="dxa"/>
                  <w:tcBorders>
                    <w:top w:val="nil"/>
                    <w:left w:val="nil"/>
                    <w:bottom w:val="single" w:sz="4" w:space="0" w:color="auto"/>
                    <w:right w:val="nil"/>
                  </w:tcBorders>
                  <w:noWrap/>
                  <w:vAlign w:val="bottom"/>
                  <w:hideMark/>
                </w:tcPr>
                <w:p w14:paraId="227FDB48"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1</w:t>
                  </w:r>
                </w:p>
              </w:tc>
            </w:tr>
            <w:tr w:rsidR="00EB78C2" w:rsidRPr="00D61E32" w14:paraId="4A7C0FBE" w14:textId="77777777">
              <w:trPr>
                <w:trHeight w:val="340"/>
              </w:trPr>
              <w:tc>
                <w:tcPr>
                  <w:tcW w:w="198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5460BA11" w14:textId="77777777" w:rsidR="00EB78C2" w:rsidRPr="00D61E32" w:rsidRDefault="00EB78C2">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MedSurg</w:t>
                  </w:r>
                  <w:proofErr w:type="spellEnd"/>
                  <w:r w:rsidRPr="00D61E32">
                    <w:rPr>
                      <w:rFonts w:ascii="Century Gothic" w:eastAsia="Times New Roman" w:hAnsi="Century Gothic" w:cs="Calibri"/>
                      <w:b/>
                      <w:bCs/>
                      <w:color w:val="000000"/>
                    </w:rPr>
                    <w:t xml:space="preserve"> % Denied</w:t>
                  </w:r>
                </w:p>
              </w:tc>
              <w:tc>
                <w:tcPr>
                  <w:tcW w:w="1280" w:type="dxa"/>
                  <w:tcBorders>
                    <w:top w:val="nil"/>
                    <w:left w:val="nil"/>
                    <w:bottom w:val="single" w:sz="8" w:space="0" w:color="auto"/>
                    <w:right w:val="single" w:sz="4" w:space="0" w:color="auto"/>
                  </w:tcBorders>
                  <w:shd w:val="clear" w:color="auto" w:fill="B4C6E7"/>
                  <w:noWrap/>
                  <w:vAlign w:val="bottom"/>
                  <w:hideMark/>
                </w:tcPr>
                <w:p w14:paraId="1DCF08A7" w14:textId="77777777" w:rsidR="00EB78C2" w:rsidRPr="00D61E32" w:rsidRDefault="00EB78C2">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27%</w:t>
                  </w:r>
                </w:p>
              </w:tc>
              <w:tc>
                <w:tcPr>
                  <w:tcW w:w="1280" w:type="dxa"/>
                  <w:tcBorders>
                    <w:top w:val="nil"/>
                    <w:left w:val="nil"/>
                    <w:bottom w:val="single" w:sz="8" w:space="0" w:color="auto"/>
                    <w:right w:val="nil"/>
                  </w:tcBorders>
                  <w:shd w:val="clear" w:color="auto" w:fill="B4C6E7"/>
                  <w:noWrap/>
                  <w:vAlign w:val="bottom"/>
                  <w:hideMark/>
                </w:tcPr>
                <w:p w14:paraId="2A8BA66B" w14:textId="77777777" w:rsidR="00EB78C2" w:rsidRPr="00D61E32" w:rsidRDefault="00EB78C2">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25%</w:t>
                  </w:r>
                </w:p>
              </w:tc>
            </w:tr>
          </w:tbl>
          <w:p w14:paraId="1474C0B2" w14:textId="77777777" w:rsidR="00EB78C2" w:rsidRPr="00D61E32" w:rsidRDefault="00EB78C2">
            <w:pPr>
              <w:rPr>
                <w:rFonts w:ascii="Century Gothic" w:eastAsia="Times New Roman" w:hAnsi="Century Gothic" w:cs="Arial"/>
                <w:b/>
                <w:bCs/>
              </w:rPr>
            </w:pPr>
          </w:p>
          <w:p w14:paraId="538085F0" w14:textId="3FEE020C" w:rsidR="00EB78C2" w:rsidRDefault="00EB78C2">
            <w:pPr>
              <w:rPr>
                <w:rFonts w:ascii="Century Gothic" w:hAnsi="Century Gothic" w:cs="Arial"/>
              </w:rPr>
            </w:pPr>
            <w:bookmarkStart w:id="17" w:name="OLE_LINK8"/>
            <w:r w:rsidRPr="00D61E32">
              <w:rPr>
                <w:rFonts w:ascii="Century Gothic" w:hAnsi="Century Gothic" w:cs="Arial"/>
              </w:rPr>
              <w:t xml:space="preserve">The data above shows that 27% of inpatient in-network retrospective reviews were denied and 25% of inpatient out-of-network retrospective reviews were denied. </w:t>
            </w:r>
            <w:bookmarkEnd w:id="17"/>
          </w:p>
          <w:p w14:paraId="4F5E63DC" w14:textId="77777777" w:rsidR="00FD0F3F" w:rsidRPr="00E70A33" w:rsidRDefault="00FD0F3F">
            <w:pPr>
              <w:rPr>
                <w:rFonts w:ascii="Century Gothic" w:hAnsi="Century Gothic" w:cs="Arial"/>
              </w:rPr>
            </w:pPr>
          </w:p>
          <w:p w14:paraId="049F22EE" w14:textId="77777777" w:rsidR="00EB78C2" w:rsidRPr="00D61E32" w:rsidRDefault="00EB78C2">
            <w:pPr>
              <w:rPr>
                <w:rFonts w:ascii="Century Gothic" w:hAnsi="Century Gothic" w:cs="Arial"/>
                <w:b/>
                <w:bCs/>
              </w:rPr>
            </w:pPr>
            <w:r w:rsidRPr="00D61E32">
              <w:rPr>
                <w:rFonts w:ascii="Century Gothic" w:hAnsi="Century Gothic" w:cs="Arial"/>
                <w:b/>
                <w:bCs/>
                <w:u w:val="single"/>
              </w:rPr>
              <w:t>Appeals Data</w:t>
            </w:r>
          </w:p>
          <w:p w14:paraId="680BB6A9" w14:textId="77777777" w:rsidR="00EB78C2" w:rsidRPr="00D61E32" w:rsidRDefault="00EB78C2">
            <w:pPr>
              <w:rPr>
                <w:rFonts w:ascii="Century Gothic" w:hAnsi="Century Gothic" w:cs="Arial"/>
                <w:b/>
                <w:bCs/>
              </w:rPr>
            </w:pPr>
            <w:r w:rsidRPr="00D61E32">
              <w:rPr>
                <w:rFonts w:ascii="Century Gothic" w:hAnsi="Century Gothic" w:cs="Arial"/>
                <w:b/>
                <w:bCs/>
              </w:rPr>
              <w:t>Inpatient</w:t>
            </w:r>
          </w:p>
          <w:tbl>
            <w:tblPr>
              <w:tblW w:w="4540" w:type="dxa"/>
              <w:tblLook w:val="04A0" w:firstRow="1" w:lastRow="0" w:firstColumn="1" w:lastColumn="0" w:noHBand="0" w:noVBand="1"/>
            </w:tblPr>
            <w:tblGrid>
              <w:gridCol w:w="1980"/>
              <w:gridCol w:w="1280"/>
              <w:gridCol w:w="1280"/>
            </w:tblGrid>
            <w:tr w:rsidR="00EB78C2" w:rsidRPr="00D61E32" w14:paraId="4E38BC5D" w14:textId="77777777">
              <w:trPr>
                <w:trHeight w:val="290"/>
              </w:trPr>
              <w:tc>
                <w:tcPr>
                  <w:tcW w:w="1980" w:type="dxa"/>
                  <w:tcBorders>
                    <w:top w:val="single" w:sz="4" w:space="0" w:color="auto"/>
                    <w:left w:val="single" w:sz="8" w:space="0" w:color="auto"/>
                    <w:bottom w:val="single" w:sz="4" w:space="0" w:color="auto"/>
                    <w:right w:val="single" w:sz="8" w:space="0" w:color="auto"/>
                  </w:tcBorders>
                  <w:shd w:val="clear" w:color="auto" w:fill="BFBFBF"/>
                  <w:noWrap/>
                  <w:vAlign w:val="bottom"/>
                  <w:hideMark/>
                </w:tcPr>
                <w:p w14:paraId="246B660F"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Network</w:t>
                  </w:r>
                </w:p>
              </w:tc>
              <w:tc>
                <w:tcPr>
                  <w:tcW w:w="1280" w:type="dxa"/>
                  <w:tcBorders>
                    <w:top w:val="single" w:sz="4" w:space="0" w:color="auto"/>
                    <w:left w:val="nil"/>
                    <w:bottom w:val="single" w:sz="4" w:space="0" w:color="auto"/>
                    <w:right w:val="single" w:sz="4" w:space="0" w:color="auto"/>
                  </w:tcBorders>
                  <w:shd w:val="clear" w:color="auto" w:fill="D9D9D9"/>
                  <w:noWrap/>
                  <w:vAlign w:val="bottom"/>
                  <w:hideMark/>
                </w:tcPr>
                <w:p w14:paraId="4737202C"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INN</w:t>
                  </w:r>
                </w:p>
              </w:tc>
              <w:tc>
                <w:tcPr>
                  <w:tcW w:w="1280" w:type="dxa"/>
                  <w:tcBorders>
                    <w:top w:val="single" w:sz="4" w:space="0" w:color="auto"/>
                    <w:left w:val="nil"/>
                    <w:bottom w:val="single" w:sz="4" w:space="0" w:color="auto"/>
                    <w:right w:val="nil"/>
                  </w:tcBorders>
                  <w:shd w:val="clear" w:color="auto" w:fill="D9D9D9"/>
                  <w:noWrap/>
                  <w:vAlign w:val="bottom"/>
                  <w:hideMark/>
                </w:tcPr>
                <w:p w14:paraId="28D9FFD8"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OON</w:t>
                  </w:r>
                </w:p>
              </w:tc>
            </w:tr>
            <w:tr w:rsidR="00EB78C2" w:rsidRPr="00D61E32" w14:paraId="24E0AFE0" w14:textId="77777777">
              <w:trPr>
                <w:trHeight w:val="300"/>
              </w:trPr>
              <w:tc>
                <w:tcPr>
                  <w:tcW w:w="1980" w:type="dxa"/>
                  <w:tcBorders>
                    <w:top w:val="nil"/>
                    <w:left w:val="single" w:sz="8" w:space="0" w:color="auto"/>
                    <w:bottom w:val="single" w:sz="8" w:space="0" w:color="auto"/>
                    <w:right w:val="single" w:sz="8" w:space="0" w:color="auto"/>
                  </w:tcBorders>
                  <w:shd w:val="clear" w:color="auto" w:fill="BFBFBF"/>
                  <w:noWrap/>
                  <w:vAlign w:val="bottom"/>
                  <w:hideMark/>
                </w:tcPr>
                <w:p w14:paraId="719F0CC8"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Auth Type</w:t>
                  </w:r>
                </w:p>
              </w:tc>
              <w:tc>
                <w:tcPr>
                  <w:tcW w:w="1280" w:type="dxa"/>
                  <w:tcBorders>
                    <w:top w:val="nil"/>
                    <w:left w:val="nil"/>
                    <w:bottom w:val="single" w:sz="8" w:space="0" w:color="auto"/>
                    <w:right w:val="single" w:sz="4" w:space="0" w:color="auto"/>
                  </w:tcBorders>
                  <w:shd w:val="clear" w:color="auto" w:fill="D9D9D9"/>
                  <w:noWrap/>
                  <w:vAlign w:val="bottom"/>
                  <w:hideMark/>
                </w:tcPr>
                <w:p w14:paraId="7DBA3C0E"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Retro</w:t>
                  </w:r>
                </w:p>
              </w:tc>
              <w:tc>
                <w:tcPr>
                  <w:tcW w:w="1280" w:type="dxa"/>
                  <w:tcBorders>
                    <w:top w:val="nil"/>
                    <w:left w:val="nil"/>
                    <w:bottom w:val="single" w:sz="8" w:space="0" w:color="auto"/>
                    <w:right w:val="nil"/>
                  </w:tcBorders>
                  <w:shd w:val="clear" w:color="auto" w:fill="D9D9D9"/>
                  <w:noWrap/>
                  <w:vAlign w:val="bottom"/>
                  <w:hideMark/>
                </w:tcPr>
                <w:p w14:paraId="6C9ED866"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Retro</w:t>
                  </w:r>
                </w:p>
              </w:tc>
            </w:tr>
            <w:tr w:rsidR="00EB78C2" w:rsidRPr="00D61E32" w14:paraId="245CC62E" w14:textId="77777777">
              <w:trPr>
                <w:trHeight w:val="300"/>
              </w:trPr>
              <w:tc>
                <w:tcPr>
                  <w:tcW w:w="1980" w:type="dxa"/>
                  <w:tcBorders>
                    <w:top w:val="nil"/>
                    <w:left w:val="single" w:sz="8" w:space="0" w:color="auto"/>
                    <w:bottom w:val="nil"/>
                    <w:right w:val="single" w:sz="8" w:space="0" w:color="auto"/>
                  </w:tcBorders>
                  <w:shd w:val="clear" w:color="auto" w:fill="757171"/>
                  <w:noWrap/>
                  <w:vAlign w:val="bottom"/>
                  <w:hideMark/>
                </w:tcPr>
                <w:p w14:paraId="5AC7F0BA" w14:textId="77777777" w:rsidR="00EB78C2" w:rsidRPr="00D61E32" w:rsidRDefault="00EB78C2">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MedSurg</w:t>
                  </w:r>
                  <w:proofErr w:type="spellEnd"/>
                </w:p>
              </w:tc>
              <w:tc>
                <w:tcPr>
                  <w:tcW w:w="1280" w:type="dxa"/>
                  <w:tcBorders>
                    <w:top w:val="nil"/>
                    <w:left w:val="nil"/>
                    <w:bottom w:val="nil"/>
                    <w:right w:val="single" w:sz="4" w:space="0" w:color="auto"/>
                  </w:tcBorders>
                  <w:shd w:val="clear" w:color="auto" w:fill="757171"/>
                  <w:vAlign w:val="bottom"/>
                  <w:hideMark/>
                </w:tcPr>
                <w:p w14:paraId="436AECEE" w14:textId="77777777" w:rsidR="00EB78C2" w:rsidRPr="00D61E32" w:rsidRDefault="00EB78C2">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29</w:t>
                  </w:r>
                </w:p>
              </w:tc>
              <w:tc>
                <w:tcPr>
                  <w:tcW w:w="1280" w:type="dxa"/>
                  <w:shd w:val="clear" w:color="auto" w:fill="757171"/>
                  <w:vAlign w:val="bottom"/>
                  <w:hideMark/>
                </w:tcPr>
                <w:p w14:paraId="78104CBC" w14:textId="77777777" w:rsidR="00EB78C2" w:rsidRPr="00D61E32" w:rsidRDefault="00EB78C2">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11</w:t>
                  </w:r>
                </w:p>
              </w:tc>
            </w:tr>
            <w:tr w:rsidR="00EB78C2" w:rsidRPr="00D61E32" w14:paraId="27456AC3"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162B8C2F"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Denials Upheld </w:t>
                  </w:r>
                </w:p>
              </w:tc>
              <w:tc>
                <w:tcPr>
                  <w:tcW w:w="1280" w:type="dxa"/>
                  <w:tcBorders>
                    <w:top w:val="single" w:sz="8" w:space="0" w:color="auto"/>
                    <w:left w:val="nil"/>
                    <w:bottom w:val="single" w:sz="4" w:space="0" w:color="auto"/>
                    <w:right w:val="single" w:sz="4" w:space="0" w:color="auto"/>
                  </w:tcBorders>
                  <w:noWrap/>
                  <w:vAlign w:val="bottom"/>
                  <w:hideMark/>
                </w:tcPr>
                <w:p w14:paraId="1FADA6C4"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21</w:t>
                  </w:r>
                </w:p>
              </w:tc>
              <w:tc>
                <w:tcPr>
                  <w:tcW w:w="1280" w:type="dxa"/>
                  <w:tcBorders>
                    <w:top w:val="single" w:sz="8" w:space="0" w:color="auto"/>
                    <w:left w:val="nil"/>
                    <w:bottom w:val="single" w:sz="4" w:space="0" w:color="auto"/>
                    <w:right w:val="nil"/>
                  </w:tcBorders>
                  <w:noWrap/>
                  <w:vAlign w:val="bottom"/>
                  <w:hideMark/>
                </w:tcPr>
                <w:p w14:paraId="63E36FD0"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2</w:t>
                  </w:r>
                </w:p>
              </w:tc>
            </w:tr>
            <w:tr w:rsidR="00EB78C2" w:rsidRPr="00D61E32" w14:paraId="56D10931"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2D1D7968"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Denials Overturned </w:t>
                  </w:r>
                </w:p>
              </w:tc>
              <w:tc>
                <w:tcPr>
                  <w:tcW w:w="1280" w:type="dxa"/>
                  <w:tcBorders>
                    <w:top w:val="nil"/>
                    <w:left w:val="nil"/>
                    <w:bottom w:val="single" w:sz="4" w:space="0" w:color="auto"/>
                    <w:right w:val="single" w:sz="4" w:space="0" w:color="auto"/>
                  </w:tcBorders>
                  <w:noWrap/>
                  <w:vAlign w:val="bottom"/>
                  <w:hideMark/>
                </w:tcPr>
                <w:p w14:paraId="5EC757F5"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8</w:t>
                  </w:r>
                </w:p>
              </w:tc>
              <w:tc>
                <w:tcPr>
                  <w:tcW w:w="1280" w:type="dxa"/>
                  <w:tcBorders>
                    <w:top w:val="nil"/>
                    <w:left w:val="nil"/>
                    <w:bottom w:val="single" w:sz="4" w:space="0" w:color="auto"/>
                    <w:right w:val="nil"/>
                  </w:tcBorders>
                  <w:noWrap/>
                  <w:vAlign w:val="bottom"/>
                  <w:hideMark/>
                </w:tcPr>
                <w:p w14:paraId="20862F4B"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9</w:t>
                  </w:r>
                </w:p>
              </w:tc>
            </w:tr>
            <w:tr w:rsidR="00EB78C2" w:rsidRPr="00D61E32" w14:paraId="28F531AC" w14:textId="77777777">
              <w:trPr>
                <w:trHeight w:val="300"/>
              </w:trPr>
              <w:tc>
                <w:tcPr>
                  <w:tcW w:w="1980" w:type="dxa"/>
                  <w:tcBorders>
                    <w:top w:val="nil"/>
                    <w:left w:val="single" w:sz="8" w:space="0" w:color="auto"/>
                    <w:bottom w:val="nil"/>
                    <w:right w:val="single" w:sz="8" w:space="0" w:color="auto"/>
                  </w:tcBorders>
                  <w:shd w:val="clear" w:color="auto" w:fill="B4C6E7"/>
                  <w:noWrap/>
                  <w:vAlign w:val="bottom"/>
                  <w:hideMark/>
                </w:tcPr>
                <w:p w14:paraId="2C5A7871" w14:textId="77777777" w:rsidR="00EB78C2" w:rsidRPr="00D61E32" w:rsidRDefault="00EB78C2">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MedSurg</w:t>
                  </w:r>
                  <w:proofErr w:type="spellEnd"/>
                  <w:r w:rsidRPr="00D61E32">
                    <w:rPr>
                      <w:rFonts w:ascii="Century Gothic" w:eastAsia="Times New Roman" w:hAnsi="Century Gothic" w:cs="Calibri"/>
                      <w:b/>
                      <w:bCs/>
                      <w:color w:val="000000"/>
                    </w:rPr>
                    <w:t xml:space="preserve"> % Upheld</w:t>
                  </w:r>
                </w:p>
              </w:tc>
              <w:tc>
                <w:tcPr>
                  <w:tcW w:w="1280" w:type="dxa"/>
                  <w:tcBorders>
                    <w:top w:val="nil"/>
                    <w:left w:val="nil"/>
                    <w:bottom w:val="single" w:sz="8" w:space="0" w:color="auto"/>
                    <w:right w:val="single" w:sz="4" w:space="0" w:color="auto"/>
                  </w:tcBorders>
                  <w:shd w:val="clear" w:color="auto" w:fill="B4C6E7"/>
                  <w:noWrap/>
                  <w:vAlign w:val="bottom"/>
                  <w:hideMark/>
                </w:tcPr>
                <w:p w14:paraId="25CB4026"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72%</w:t>
                  </w:r>
                </w:p>
              </w:tc>
              <w:tc>
                <w:tcPr>
                  <w:tcW w:w="1280" w:type="dxa"/>
                  <w:tcBorders>
                    <w:top w:val="nil"/>
                    <w:left w:val="nil"/>
                    <w:bottom w:val="single" w:sz="8" w:space="0" w:color="auto"/>
                    <w:right w:val="nil"/>
                  </w:tcBorders>
                  <w:shd w:val="clear" w:color="auto" w:fill="B4C6E7"/>
                  <w:noWrap/>
                  <w:vAlign w:val="bottom"/>
                  <w:hideMark/>
                </w:tcPr>
                <w:p w14:paraId="0168B505"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18%</w:t>
                  </w:r>
                </w:p>
              </w:tc>
            </w:tr>
          </w:tbl>
          <w:p w14:paraId="617F5772" w14:textId="77777777" w:rsidR="00EB78C2" w:rsidRPr="00D61E32" w:rsidRDefault="00EB78C2">
            <w:pPr>
              <w:rPr>
                <w:rFonts w:ascii="Century Gothic" w:eastAsia="Times New Roman" w:hAnsi="Century Gothic" w:cs="Arial"/>
                <w:b/>
                <w:bCs/>
                <w:color w:val="FF0000"/>
              </w:rPr>
            </w:pPr>
          </w:p>
          <w:p w14:paraId="6D4A8C16" w14:textId="77777777" w:rsidR="00EB78C2" w:rsidRPr="00D61E32" w:rsidRDefault="00EB78C2">
            <w:pPr>
              <w:rPr>
                <w:rFonts w:ascii="Century Gothic" w:hAnsi="Century Gothic" w:cs="Arial"/>
              </w:rPr>
            </w:pPr>
            <w:r w:rsidRPr="00D61E32">
              <w:rPr>
                <w:rFonts w:ascii="Century Gothic" w:hAnsi="Century Gothic" w:cs="Arial"/>
              </w:rPr>
              <w:t xml:space="preserve">The data above shows that 72% of inpatient in-network retrospective reviews were upheld and 18% of inpatient out-of-network retrospective reviews were upheld. </w:t>
            </w:r>
          </w:p>
          <w:p w14:paraId="5FED1E14" w14:textId="77777777" w:rsidR="00EB78C2" w:rsidRPr="00D61E32" w:rsidRDefault="00EB78C2">
            <w:pPr>
              <w:rPr>
                <w:rFonts w:ascii="Century Gothic" w:hAnsi="Century Gothic" w:cs="Arial"/>
                <w:b/>
                <w:bCs/>
                <w:u w:val="single"/>
              </w:rPr>
            </w:pPr>
          </w:p>
          <w:p w14:paraId="26A7C94C" w14:textId="77777777" w:rsidR="00EB78C2" w:rsidRPr="00D61E32" w:rsidRDefault="00EB78C2">
            <w:pPr>
              <w:rPr>
                <w:rFonts w:ascii="Century Gothic" w:hAnsi="Century Gothic" w:cs="Arial"/>
              </w:rPr>
            </w:pPr>
          </w:p>
          <w:p w14:paraId="0DE22EE5" w14:textId="77777777" w:rsidR="00EB78C2" w:rsidRPr="00D61E32" w:rsidRDefault="00EB78C2">
            <w:pPr>
              <w:rPr>
                <w:rFonts w:ascii="Century Gothic" w:hAnsi="Century Gothic" w:cs="Arial"/>
              </w:rPr>
            </w:pPr>
          </w:p>
          <w:p w14:paraId="392DC934" w14:textId="77777777" w:rsidR="00EB78C2" w:rsidRPr="00D61E32" w:rsidRDefault="00EB78C2">
            <w:pPr>
              <w:rPr>
                <w:rFonts w:ascii="Century Gothic" w:hAnsi="Century Gothic" w:cs="Arial"/>
                <w:b/>
                <w:bCs/>
                <w:color w:val="FF0000"/>
              </w:rPr>
            </w:pPr>
          </w:p>
          <w:p w14:paraId="2C8CAAB5" w14:textId="77777777" w:rsidR="00EB78C2" w:rsidRPr="00D61E32" w:rsidRDefault="00EB78C2">
            <w:pPr>
              <w:rPr>
                <w:rFonts w:ascii="Century Gothic" w:hAnsi="Century Gothic" w:cs="Arial"/>
                <w:color w:val="FF0000"/>
              </w:rPr>
            </w:pPr>
          </w:p>
          <w:p w14:paraId="2B7D9AED" w14:textId="77777777" w:rsidR="00EB78C2" w:rsidRPr="00D61E32" w:rsidRDefault="00EB78C2">
            <w:pPr>
              <w:rPr>
                <w:rFonts w:ascii="Century Gothic" w:hAnsi="Century Gothic" w:cs="Arial"/>
                <w:color w:val="FF0000"/>
              </w:rPr>
            </w:pPr>
          </w:p>
          <w:p w14:paraId="0CAD4048" w14:textId="77777777" w:rsidR="00EB78C2" w:rsidRPr="00D61E32" w:rsidRDefault="00EB78C2">
            <w:pPr>
              <w:rPr>
                <w:rFonts w:ascii="Century Gothic" w:hAnsi="Century Gothic" w:cs="Arial"/>
                <w:color w:val="FF0000"/>
              </w:rPr>
            </w:pPr>
          </w:p>
          <w:p w14:paraId="6D87B6E3" w14:textId="77777777" w:rsidR="00EB78C2" w:rsidRPr="00D61E32" w:rsidRDefault="00EB78C2">
            <w:pPr>
              <w:rPr>
                <w:rFonts w:ascii="Century Gothic" w:hAnsi="Century Gothic" w:cs="Arial"/>
                <w:color w:val="FF0000"/>
              </w:rPr>
            </w:pPr>
          </w:p>
          <w:p w14:paraId="0A800D2B" w14:textId="77777777" w:rsidR="00EB78C2" w:rsidRPr="00D61E32" w:rsidRDefault="00EB78C2">
            <w:pPr>
              <w:rPr>
                <w:rFonts w:ascii="Century Gothic" w:hAnsi="Century Gothic" w:cs="Arial"/>
                <w:color w:val="FF0000"/>
              </w:rPr>
            </w:pPr>
          </w:p>
          <w:p w14:paraId="6D85D0E8" w14:textId="77777777" w:rsidR="00EB78C2" w:rsidRPr="00D61E32" w:rsidRDefault="00EB78C2">
            <w:pPr>
              <w:rPr>
                <w:rFonts w:ascii="Century Gothic" w:hAnsi="Century Gothic" w:cs="Arial"/>
                <w:color w:val="FF0000"/>
              </w:rPr>
            </w:pPr>
          </w:p>
          <w:p w14:paraId="41AC4D84" w14:textId="77777777" w:rsidR="00EB78C2" w:rsidRPr="00D61E32" w:rsidRDefault="00EB78C2">
            <w:pPr>
              <w:rPr>
                <w:rFonts w:ascii="Century Gothic" w:hAnsi="Century Gothic" w:cs="Arial"/>
                <w:b/>
                <w:bCs/>
                <w:color w:val="FF0000"/>
                <w:u w:val="single"/>
              </w:rPr>
            </w:pPr>
          </w:p>
        </w:tc>
        <w:tc>
          <w:tcPr>
            <w:tcW w:w="2500" w:type="pct"/>
            <w:tcBorders>
              <w:top w:val="single" w:sz="4" w:space="0" w:color="auto"/>
              <w:left w:val="single" w:sz="4" w:space="0" w:color="auto"/>
              <w:bottom w:val="single" w:sz="4" w:space="0" w:color="auto"/>
              <w:right w:val="single" w:sz="4" w:space="0" w:color="auto"/>
            </w:tcBorders>
          </w:tcPr>
          <w:p w14:paraId="0577B626" w14:textId="33AFC36A" w:rsidR="00EB78C2" w:rsidRPr="00E70A33" w:rsidRDefault="00EB78C2">
            <w:pPr>
              <w:rPr>
                <w:rFonts w:ascii="Century Gothic" w:hAnsi="Century Gothic" w:cs="Arial"/>
                <w:b/>
                <w:i/>
              </w:rPr>
            </w:pPr>
            <w:r w:rsidRPr="00D61E32">
              <w:rPr>
                <w:rFonts w:ascii="Century Gothic" w:hAnsi="Century Gothic" w:cs="Arial"/>
                <w:b/>
                <w:i/>
              </w:rPr>
              <w:t>Step 4(b): Identify and define the factors and processes that are used to monitor and evaluate the application of Prior Authorization for MH/SUD benefits</w:t>
            </w:r>
            <w:r w:rsidRPr="00D61E32">
              <w:rPr>
                <w:rFonts w:ascii="Century Gothic" w:hAnsi="Century Gothic" w:cs="Arial"/>
              </w:rPr>
              <w:t>:</w:t>
            </w:r>
          </w:p>
          <w:p w14:paraId="1FAD8F06" w14:textId="092DDFC3" w:rsidR="00EB78C2" w:rsidRPr="00E70A33" w:rsidRDefault="00EB78C2">
            <w:pPr>
              <w:rPr>
                <w:rFonts w:ascii="Century Gothic" w:hAnsi="Century Gothic" w:cs="Arial"/>
                <w:b/>
                <w:bCs/>
              </w:rPr>
            </w:pPr>
            <w:r w:rsidRPr="00D61E32">
              <w:rPr>
                <w:rFonts w:ascii="Century Gothic" w:hAnsi="Century Gothic" w:cs="Arial"/>
                <w:b/>
                <w:bCs/>
              </w:rPr>
              <w:t xml:space="preserve">2023 Data </w:t>
            </w:r>
            <w:r w:rsidRPr="00D61E32">
              <w:rPr>
                <w:rFonts w:ascii="Century Gothic" w:hAnsi="Century Gothic" w:cs="Arial"/>
              </w:rPr>
              <w:t>– Wellfleet delegates Utilization Management, including retrospective review, to Cigna.  The below data represents an analysis of retrospective review requests across Wellfleet’s Book of Business from January 1, 2023 – December 31, 2023.</w:t>
            </w:r>
            <w:r w:rsidRPr="00D61E32">
              <w:rPr>
                <w:rFonts w:ascii="Century Gothic" w:hAnsi="Century Gothic" w:cs="Arial"/>
                <w:b/>
                <w:bCs/>
              </w:rPr>
              <w:t xml:space="preserve"> </w:t>
            </w:r>
          </w:p>
          <w:p w14:paraId="60549C3D" w14:textId="77777777" w:rsidR="00EB78C2" w:rsidRPr="00D61E32" w:rsidRDefault="00EB78C2">
            <w:pPr>
              <w:rPr>
                <w:rFonts w:ascii="Century Gothic" w:hAnsi="Century Gothic" w:cs="Arial"/>
                <w:b/>
                <w:bCs/>
              </w:rPr>
            </w:pPr>
            <w:r w:rsidRPr="00D61E32">
              <w:rPr>
                <w:rFonts w:ascii="Century Gothic" w:hAnsi="Century Gothic" w:cs="Arial"/>
                <w:b/>
                <w:bCs/>
              </w:rPr>
              <w:t>Inpatient Prior Authorization Denial Rates</w:t>
            </w:r>
          </w:p>
          <w:tbl>
            <w:tblPr>
              <w:tblW w:w="4540" w:type="dxa"/>
              <w:tblLook w:val="04A0" w:firstRow="1" w:lastRow="0" w:firstColumn="1" w:lastColumn="0" w:noHBand="0" w:noVBand="1"/>
            </w:tblPr>
            <w:tblGrid>
              <w:gridCol w:w="1868"/>
              <w:gridCol w:w="1213"/>
              <w:gridCol w:w="1213"/>
            </w:tblGrid>
            <w:tr w:rsidR="00EB78C2" w:rsidRPr="00D61E32" w14:paraId="55A1B89B" w14:textId="77777777">
              <w:trPr>
                <w:trHeight w:val="580"/>
              </w:trPr>
              <w:tc>
                <w:tcPr>
                  <w:tcW w:w="1980" w:type="dxa"/>
                  <w:tcBorders>
                    <w:top w:val="single" w:sz="8" w:space="0" w:color="auto"/>
                    <w:left w:val="single" w:sz="8" w:space="0" w:color="auto"/>
                    <w:bottom w:val="single" w:sz="4" w:space="0" w:color="auto"/>
                    <w:right w:val="single" w:sz="8" w:space="0" w:color="auto"/>
                  </w:tcBorders>
                  <w:shd w:val="clear" w:color="auto" w:fill="D9D9D9"/>
                  <w:vAlign w:val="bottom"/>
                  <w:hideMark/>
                </w:tcPr>
                <w:p w14:paraId="28FABFCE"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UR Service Level </w:t>
                  </w:r>
                </w:p>
              </w:tc>
              <w:tc>
                <w:tcPr>
                  <w:tcW w:w="1280" w:type="dxa"/>
                  <w:tcBorders>
                    <w:top w:val="single" w:sz="8" w:space="0" w:color="auto"/>
                    <w:left w:val="nil"/>
                    <w:bottom w:val="single" w:sz="4" w:space="0" w:color="auto"/>
                    <w:right w:val="single" w:sz="4" w:space="0" w:color="auto"/>
                  </w:tcBorders>
                  <w:shd w:val="clear" w:color="auto" w:fill="D9D9D9"/>
                  <w:vAlign w:val="bottom"/>
                  <w:hideMark/>
                </w:tcPr>
                <w:p w14:paraId="369D0E0A" w14:textId="77777777" w:rsidR="00EB78C2" w:rsidRPr="00D61E32" w:rsidRDefault="00EB78C2">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Inpt</w:t>
                  </w:r>
                  <w:proofErr w:type="spellEnd"/>
                  <w:r w:rsidRPr="00D61E32">
                    <w:rPr>
                      <w:rFonts w:ascii="Century Gothic" w:eastAsia="Times New Roman" w:hAnsi="Century Gothic" w:cs="Calibri"/>
                      <w:b/>
                      <w:bCs/>
                      <w:color w:val="000000"/>
                    </w:rPr>
                    <w:t xml:space="preserve"> </w:t>
                  </w:r>
                </w:p>
              </w:tc>
              <w:tc>
                <w:tcPr>
                  <w:tcW w:w="1280" w:type="dxa"/>
                  <w:tcBorders>
                    <w:top w:val="single" w:sz="8" w:space="0" w:color="auto"/>
                    <w:left w:val="nil"/>
                    <w:bottom w:val="single" w:sz="4" w:space="0" w:color="auto"/>
                    <w:right w:val="nil"/>
                  </w:tcBorders>
                  <w:shd w:val="clear" w:color="auto" w:fill="D9D9D9"/>
                  <w:vAlign w:val="bottom"/>
                  <w:hideMark/>
                </w:tcPr>
                <w:p w14:paraId="4230650F" w14:textId="77777777" w:rsidR="00EB78C2" w:rsidRPr="00D61E32" w:rsidRDefault="00EB78C2">
                  <w:pPr>
                    <w:rPr>
                      <w:rFonts w:ascii="Century Gothic" w:eastAsia="Times New Roman" w:hAnsi="Century Gothic" w:cs="Calibri"/>
                      <w:b/>
                      <w:bCs/>
                      <w:color w:val="000000"/>
                    </w:rPr>
                  </w:pPr>
                  <w:proofErr w:type="spellStart"/>
                  <w:r w:rsidRPr="00D61E32">
                    <w:rPr>
                      <w:rFonts w:ascii="Century Gothic" w:eastAsia="Times New Roman" w:hAnsi="Century Gothic" w:cs="Calibri"/>
                      <w:b/>
                      <w:bCs/>
                      <w:color w:val="000000"/>
                    </w:rPr>
                    <w:t>Inpt</w:t>
                  </w:r>
                  <w:proofErr w:type="spellEnd"/>
                  <w:r w:rsidRPr="00D61E32">
                    <w:rPr>
                      <w:rFonts w:ascii="Century Gothic" w:eastAsia="Times New Roman" w:hAnsi="Century Gothic" w:cs="Calibri"/>
                      <w:b/>
                      <w:bCs/>
                      <w:color w:val="000000"/>
                    </w:rPr>
                    <w:t xml:space="preserve"> </w:t>
                  </w:r>
                </w:p>
              </w:tc>
            </w:tr>
            <w:tr w:rsidR="00EB78C2" w:rsidRPr="00D61E32" w14:paraId="63C7B007" w14:textId="77777777">
              <w:trPr>
                <w:trHeight w:val="290"/>
              </w:trPr>
              <w:tc>
                <w:tcPr>
                  <w:tcW w:w="1980" w:type="dxa"/>
                  <w:tcBorders>
                    <w:top w:val="nil"/>
                    <w:left w:val="single" w:sz="8" w:space="0" w:color="auto"/>
                    <w:bottom w:val="single" w:sz="4" w:space="0" w:color="auto"/>
                    <w:right w:val="single" w:sz="8" w:space="0" w:color="auto"/>
                  </w:tcBorders>
                  <w:shd w:val="clear" w:color="auto" w:fill="D9D9D9"/>
                  <w:noWrap/>
                  <w:vAlign w:val="bottom"/>
                  <w:hideMark/>
                </w:tcPr>
                <w:p w14:paraId="3833E914"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NETWORK </w:t>
                  </w:r>
                </w:p>
              </w:tc>
              <w:tc>
                <w:tcPr>
                  <w:tcW w:w="1280" w:type="dxa"/>
                  <w:tcBorders>
                    <w:top w:val="nil"/>
                    <w:left w:val="nil"/>
                    <w:bottom w:val="single" w:sz="4" w:space="0" w:color="auto"/>
                    <w:right w:val="single" w:sz="4" w:space="0" w:color="auto"/>
                  </w:tcBorders>
                  <w:shd w:val="clear" w:color="auto" w:fill="D9D9D9"/>
                  <w:noWrap/>
                  <w:vAlign w:val="bottom"/>
                  <w:hideMark/>
                </w:tcPr>
                <w:p w14:paraId="3A8164C8"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INN</w:t>
                  </w:r>
                </w:p>
              </w:tc>
              <w:tc>
                <w:tcPr>
                  <w:tcW w:w="1280" w:type="dxa"/>
                  <w:tcBorders>
                    <w:top w:val="nil"/>
                    <w:left w:val="nil"/>
                    <w:bottom w:val="single" w:sz="4" w:space="0" w:color="auto"/>
                    <w:right w:val="nil"/>
                  </w:tcBorders>
                  <w:shd w:val="clear" w:color="auto" w:fill="D9D9D9"/>
                  <w:noWrap/>
                  <w:vAlign w:val="bottom"/>
                  <w:hideMark/>
                </w:tcPr>
                <w:p w14:paraId="11040F32"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OON</w:t>
                  </w:r>
                </w:p>
              </w:tc>
            </w:tr>
            <w:tr w:rsidR="00EB78C2" w:rsidRPr="00D61E32" w14:paraId="1F92748C" w14:textId="77777777">
              <w:trPr>
                <w:trHeight w:val="300"/>
              </w:trPr>
              <w:tc>
                <w:tcPr>
                  <w:tcW w:w="1980" w:type="dxa"/>
                  <w:tcBorders>
                    <w:top w:val="nil"/>
                    <w:left w:val="single" w:sz="8" w:space="0" w:color="auto"/>
                    <w:bottom w:val="single" w:sz="8" w:space="0" w:color="auto"/>
                    <w:right w:val="single" w:sz="8" w:space="0" w:color="auto"/>
                  </w:tcBorders>
                  <w:shd w:val="clear" w:color="auto" w:fill="D9D9D9"/>
                  <w:noWrap/>
                  <w:vAlign w:val="bottom"/>
                  <w:hideMark/>
                </w:tcPr>
                <w:p w14:paraId="7EB8E597"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Auth Type</w:t>
                  </w:r>
                </w:p>
              </w:tc>
              <w:tc>
                <w:tcPr>
                  <w:tcW w:w="1280" w:type="dxa"/>
                  <w:tcBorders>
                    <w:top w:val="nil"/>
                    <w:left w:val="nil"/>
                    <w:bottom w:val="single" w:sz="8" w:space="0" w:color="auto"/>
                    <w:right w:val="single" w:sz="4" w:space="0" w:color="auto"/>
                  </w:tcBorders>
                  <w:shd w:val="clear" w:color="auto" w:fill="D9D9D9"/>
                  <w:noWrap/>
                  <w:vAlign w:val="bottom"/>
                  <w:hideMark/>
                </w:tcPr>
                <w:p w14:paraId="164CC506"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Retro</w:t>
                  </w:r>
                </w:p>
              </w:tc>
              <w:tc>
                <w:tcPr>
                  <w:tcW w:w="1280" w:type="dxa"/>
                  <w:tcBorders>
                    <w:top w:val="nil"/>
                    <w:left w:val="nil"/>
                    <w:bottom w:val="single" w:sz="8" w:space="0" w:color="auto"/>
                    <w:right w:val="nil"/>
                  </w:tcBorders>
                  <w:shd w:val="clear" w:color="auto" w:fill="D9D9D9"/>
                  <w:noWrap/>
                  <w:vAlign w:val="bottom"/>
                  <w:hideMark/>
                </w:tcPr>
                <w:p w14:paraId="1A2F31B4"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Retro</w:t>
                  </w:r>
                </w:p>
              </w:tc>
            </w:tr>
            <w:tr w:rsidR="00EB78C2" w:rsidRPr="00D61E32" w14:paraId="7A1663D0" w14:textId="77777777">
              <w:trPr>
                <w:trHeight w:val="290"/>
              </w:trPr>
              <w:tc>
                <w:tcPr>
                  <w:tcW w:w="1980" w:type="dxa"/>
                  <w:tcBorders>
                    <w:top w:val="nil"/>
                    <w:left w:val="single" w:sz="8" w:space="0" w:color="auto"/>
                    <w:bottom w:val="single" w:sz="4" w:space="0" w:color="auto"/>
                    <w:right w:val="single" w:sz="8" w:space="0" w:color="auto"/>
                  </w:tcBorders>
                  <w:shd w:val="clear" w:color="auto" w:fill="757171"/>
                  <w:noWrap/>
                  <w:vAlign w:val="bottom"/>
                  <w:hideMark/>
                </w:tcPr>
                <w:p w14:paraId="508DF480"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MH </w:t>
                  </w:r>
                </w:p>
              </w:tc>
              <w:tc>
                <w:tcPr>
                  <w:tcW w:w="1280" w:type="dxa"/>
                  <w:tcBorders>
                    <w:top w:val="nil"/>
                    <w:left w:val="nil"/>
                    <w:bottom w:val="single" w:sz="4" w:space="0" w:color="auto"/>
                    <w:right w:val="single" w:sz="4" w:space="0" w:color="auto"/>
                  </w:tcBorders>
                  <w:shd w:val="clear" w:color="auto" w:fill="757171"/>
                  <w:noWrap/>
                  <w:vAlign w:val="bottom"/>
                  <w:hideMark/>
                </w:tcPr>
                <w:p w14:paraId="70E9C3F0"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22</w:t>
                  </w:r>
                </w:p>
              </w:tc>
              <w:tc>
                <w:tcPr>
                  <w:tcW w:w="1280" w:type="dxa"/>
                  <w:tcBorders>
                    <w:top w:val="nil"/>
                    <w:left w:val="nil"/>
                    <w:bottom w:val="single" w:sz="4" w:space="0" w:color="auto"/>
                    <w:right w:val="nil"/>
                  </w:tcBorders>
                  <w:shd w:val="clear" w:color="auto" w:fill="757171"/>
                  <w:noWrap/>
                  <w:vAlign w:val="bottom"/>
                  <w:hideMark/>
                </w:tcPr>
                <w:p w14:paraId="530ECE8A"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5</w:t>
                  </w:r>
                </w:p>
              </w:tc>
            </w:tr>
            <w:tr w:rsidR="00EB78C2" w:rsidRPr="00D61E32" w14:paraId="6507D4C3"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4800210B"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Approvals</w:t>
                  </w:r>
                </w:p>
              </w:tc>
              <w:tc>
                <w:tcPr>
                  <w:tcW w:w="1280" w:type="dxa"/>
                  <w:tcBorders>
                    <w:top w:val="nil"/>
                    <w:left w:val="nil"/>
                    <w:bottom w:val="single" w:sz="4" w:space="0" w:color="auto"/>
                    <w:right w:val="single" w:sz="4" w:space="0" w:color="auto"/>
                  </w:tcBorders>
                  <w:noWrap/>
                  <w:vAlign w:val="bottom"/>
                  <w:hideMark/>
                </w:tcPr>
                <w:p w14:paraId="48006DD9"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20</w:t>
                  </w:r>
                </w:p>
              </w:tc>
              <w:tc>
                <w:tcPr>
                  <w:tcW w:w="1280" w:type="dxa"/>
                  <w:tcBorders>
                    <w:top w:val="nil"/>
                    <w:left w:val="nil"/>
                    <w:bottom w:val="single" w:sz="4" w:space="0" w:color="auto"/>
                    <w:right w:val="nil"/>
                  </w:tcBorders>
                  <w:noWrap/>
                  <w:vAlign w:val="bottom"/>
                  <w:hideMark/>
                </w:tcPr>
                <w:p w14:paraId="53830947"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5</w:t>
                  </w:r>
                </w:p>
              </w:tc>
            </w:tr>
            <w:tr w:rsidR="00EB78C2" w:rsidRPr="00D61E32" w14:paraId="5447DA20" w14:textId="77777777">
              <w:trPr>
                <w:trHeight w:val="300"/>
              </w:trPr>
              <w:tc>
                <w:tcPr>
                  <w:tcW w:w="1980" w:type="dxa"/>
                  <w:tcBorders>
                    <w:top w:val="nil"/>
                    <w:left w:val="single" w:sz="8" w:space="0" w:color="auto"/>
                    <w:bottom w:val="nil"/>
                    <w:right w:val="single" w:sz="8" w:space="0" w:color="auto"/>
                  </w:tcBorders>
                  <w:noWrap/>
                  <w:vAlign w:val="bottom"/>
                  <w:hideMark/>
                </w:tcPr>
                <w:p w14:paraId="787A3339"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Denials</w:t>
                  </w:r>
                </w:p>
              </w:tc>
              <w:tc>
                <w:tcPr>
                  <w:tcW w:w="1280" w:type="dxa"/>
                  <w:tcBorders>
                    <w:top w:val="nil"/>
                    <w:left w:val="nil"/>
                    <w:bottom w:val="single" w:sz="4" w:space="0" w:color="auto"/>
                    <w:right w:val="single" w:sz="4" w:space="0" w:color="auto"/>
                  </w:tcBorders>
                  <w:noWrap/>
                  <w:vAlign w:val="bottom"/>
                  <w:hideMark/>
                </w:tcPr>
                <w:p w14:paraId="030C119D"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2</w:t>
                  </w:r>
                </w:p>
              </w:tc>
              <w:tc>
                <w:tcPr>
                  <w:tcW w:w="1280" w:type="dxa"/>
                  <w:tcBorders>
                    <w:top w:val="nil"/>
                    <w:left w:val="nil"/>
                    <w:bottom w:val="single" w:sz="4" w:space="0" w:color="auto"/>
                    <w:right w:val="nil"/>
                  </w:tcBorders>
                  <w:noWrap/>
                  <w:vAlign w:val="bottom"/>
                  <w:hideMark/>
                </w:tcPr>
                <w:p w14:paraId="010C69EA"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r>
            <w:tr w:rsidR="00EB78C2" w:rsidRPr="00D61E32" w14:paraId="2C3B467A" w14:textId="77777777">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6387DD3A"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MH % Denied</w:t>
                  </w:r>
                </w:p>
              </w:tc>
              <w:tc>
                <w:tcPr>
                  <w:tcW w:w="1280" w:type="dxa"/>
                  <w:tcBorders>
                    <w:top w:val="nil"/>
                    <w:left w:val="nil"/>
                    <w:bottom w:val="single" w:sz="8" w:space="0" w:color="auto"/>
                    <w:right w:val="single" w:sz="4" w:space="0" w:color="auto"/>
                  </w:tcBorders>
                  <w:shd w:val="clear" w:color="auto" w:fill="B4C6E7"/>
                  <w:noWrap/>
                  <w:vAlign w:val="bottom"/>
                  <w:hideMark/>
                </w:tcPr>
                <w:p w14:paraId="6E3EDE79" w14:textId="77777777" w:rsidR="00EB78C2" w:rsidRPr="00D61E32" w:rsidRDefault="00EB78C2">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9%</w:t>
                  </w:r>
                </w:p>
              </w:tc>
              <w:tc>
                <w:tcPr>
                  <w:tcW w:w="1280" w:type="dxa"/>
                  <w:tcBorders>
                    <w:top w:val="nil"/>
                    <w:left w:val="nil"/>
                    <w:bottom w:val="single" w:sz="8" w:space="0" w:color="auto"/>
                    <w:right w:val="nil"/>
                  </w:tcBorders>
                  <w:shd w:val="clear" w:color="auto" w:fill="B4C6E7"/>
                  <w:noWrap/>
                  <w:vAlign w:val="bottom"/>
                  <w:hideMark/>
                </w:tcPr>
                <w:p w14:paraId="7CE9B114" w14:textId="77777777" w:rsidR="00EB78C2" w:rsidRPr="00D61E32" w:rsidRDefault="00EB78C2">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0%</w:t>
                  </w:r>
                </w:p>
              </w:tc>
            </w:tr>
            <w:tr w:rsidR="00EB78C2" w:rsidRPr="00D61E32" w14:paraId="1490C718" w14:textId="77777777">
              <w:trPr>
                <w:trHeight w:val="290"/>
              </w:trPr>
              <w:tc>
                <w:tcPr>
                  <w:tcW w:w="1980" w:type="dxa"/>
                  <w:tcBorders>
                    <w:top w:val="nil"/>
                    <w:left w:val="single" w:sz="8" w:space="0" w:color="auto"/>
                    <w:bottom w:val="single" w:sz="4" w:space="0" w:color="auto"/>
                    <w:right w:val="single" w:sz="8" w:space="0" w:color="auto"/>
                  </w:tcBorders>
                  <w:shd w:val="clear" w:color="auto" w:fill="757171"/>
                  <w:noWrap/>
                  <w:vAlign w:val="bottom"/>
                  <w:hideMark/>
                </w:tcPr>
                <w:p w14:paraId="790B73AF"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SUD </w:t>
                  </w:r>
                </w:p>
              </w:tc>
              <w:tc>
                <w:tcPr>
                  <w:tcW w:w="1280" w:type="dxa"/>
                  <w:tcBorders>
                    <w:top w:val="nil"/>
                    <w:left w:val="nil"/>
                    <w:bottom w:val="single" w:sz="4" w:space="0" w:color="auto"/>
                    <w:right w:val="single" w:sz="4" w:space="0" w:color="auto"/>
                  </w:tcBorders>
                  <w:shd w:val="clear" w:color="auto" w:fill="757171"/>
                  <w:noWrap/>
                  <w:vAlign w:val="bottom"/>
                  <w:hideMark/>
                </w:tcPr>
                <w:p w14:paraId="4761F7B6"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1</w:t>
                  </w:r>
                </w:p>
              </w:tc>
              <w:tc>
                <w:tcPr>
                  <w:tcW w:w="1280" w:type="dxa"/>
                  <w:tcBorders>
                    <w:top w:val="nil"/>
                    <w:left w:val="nil"/>
                    <w:bottom w:val="single" w:sz="4" w:space="0" w:color="auto"/>
                    <w:right w:val="nil"/>
                  </w:tcBorders>
                  <w:shd w:val="clear" w:color="auto" w:fill="757171"/>
                  <w:noWrap/>
                  <w:vAlign w:val="bottom"/>
                  <w:hideMark/>
                </w:tcPr>
                <w:p w14:paraId="1468D3C4"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r>
            <w:tr w:rsidR="00EB78C2" w:rsidRPr="00D61E32" w14:paraId="24677ECE"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1132A2BD"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Approvals</w:t>
                  </w:r>
                </w:p>
              </w:tc>
              <w:tc>
                <w:tcPr>
                  <w:tcW w:w="1280" w:type="dxa"/>
                  <w:tcBorders>
                    <w:top w:val="nil"/>
                    <w:left w:val="nil"/>
                    <w:bottom w:val="single" w:sz="4" w:space="0" w:color="auto"/>
                    <w:right w:val="single" w:sz="4" w:space="0" w:color="auto"/>
                  </w:tcBorders>
                  <w:noWrap/>
                  <w:vAlign w:val="bottom"/>
                  <w:hideMark/>
                </w:tcPr>
                <w:p w14:paraId="5E99D6EB"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1</w:t>
                  </w:r>
                </w:p>
              </w:tc>
              <w:tc>
                <w:tcPr>
                  <w:tcW w:w="1280" w:type="dxa"/>
                  <w:tcBorders>
                    <w:top w:val="nil"/>
                    <w:left w:val="nil"/>
                    <w:bottom w:val="single" w:sz="4" w:space="0" w:color="auto"/>
                    <w:right w:val="nil"/>
                  </w:tcBorders>
                  <w:noWrap/>
                  <w:vAlign w:val="bottom"/>
                  <w:hideMark/>
                </w:tcPr>
                <w:p w14:paraId="4ED6E04B"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r>
            <w:tr w:rsidR="00EB78C2" w:rsidRPr="00D61E32" w14:paraId="222D08BE" w14:textId="77777777">
              <w:trPr>
                <w:trHeight w:val="300"/>
              </w:trPr>
              <w:tc>
                <w:tcPr>
                  <w:tcW w:w="1980" w:type="dxa"/>
                  <w:tcBorders>
                    <w:top w:val="nil"/>
                    <w:left w:val="single" w:sz="8" w:space="0" w:color="auto"/>
                    <w:bottom w:val="nil"/>
                    <w:right w:val="single" w:sz="8" w:space="0" w:color="auto"/>
                  </w:tcBorders>
                  <w:noWrap/>
                  <w:vAlign w:val="bottom"/>
                  <w:hideMark/>
                </w:tcPr>
                <w:p w14:paraId="31786B58"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Denials</w:t>
                  </w:r>
                </w:p>
              </w:tc>
              <w:tc>
                <w:tcPr>
                  <w:tcW w:w="1280" w:type="dxa"/>
                  <w:tcBorders>
                    <w:top w:val="nil"/>
                    <w:left w:val="nil"/>
                    <w:bottom w:val="single" w:sz="4" w:space="0" w:color="auto"/>
                    <w:right w:val="single" w:sz="4" w:space="0" w:color="auto"/>
                  </w:tcBorders>
                  <w:noWrap/>
                  <w:vAlign w:val="bottom"/>
                  <w:hideMark/>
                </w:tcPr>
                <w:p w14:paraId="73BAE5E2"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4" w:space="0" w:color="auto"/>
                    <w:right w:val="nil"/>
                  </w:tcBorders>
                  <w:noWrap/>
                  <w:vAlign w:val="bottom"/>
                  <w:hideMark/>
                </w:tcPr>
                <w:p w14:paraId="641203EA"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r>
            <w:tr w:rsidR="00EB78C2" w:rsidRPr="00D61E32" w14:paraId="043E85CF" w14:textId="77777777">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34B5279B"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SUD % Denied</w:t>
                  </w:r>
                </w:p>
              </w:tc>
              <w:tc>
                <w:tcPr>
                  <w:tcW w:w="1280" w:type="dxa"/>
                  <w:tcBorders>
                    <w:top w:val="nil"/>
                    <w:left w:val="nil"/>
                    <w:bottom w:val="single" w:sz="8" w:space="0" w:color="auto"/>
                    <w:right w:val="single" w:sz="4" w:space="0" w:color="auto"/>
                  </w:tcBorders>
                  <w:shd w:val="clear" w:color="auto" w:fill="B4C6E7"/>
                  <w:noWrap/>
                  <w:vAlign w:val="bottom"/>
                  <w:hideMark/>
                </w:tcPr>
                <w:p w14:paraId="24BD4332" w14:textId="77777777" w:rsidR="00EB78C2" w:rsidRPr="00D61E32" w:rsidRDefault="00EB78C2">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0%</w:t>
                  </w:r>
                </w:p>
              </w:tc>
              <w:tc>
                <w:tcPr>
                  <w:tcW w:w="1280" w:type="dxa"/>
                  <w:tcBorders>
                    <w:top w:val="nil"/>
                    <w:left w:val="nil"/>
                    <w:bottom w:val="single" w:sz="8" w:space="0" w:color="auto"/>
                    <w:right w:val="nil"/>
                  </w:tcBorders>
                  <w:shd w:val="clear" w:color="auto" w:fill="B4C6E7"/>
                  <w:noWrap/>
                  <w:vAlign w:val="bottom"/>
                  <w:hideMark/>
                </w:tcPr>
                <w:p w14:paraId="0BC79F7F" w14:textId="77777777" w:rsidR="00EB78C2" w:rsidRPr="00D61E32" w:rsidRDefault="00EB78C2">
                  <w:pPr>
                    <w:jc w:val="right"/>
                    <w:rPr>
                      <w:rFonts w:ascii="Century Gothic" w:eastAsia="Times New Roman" w:hAnsi="Century Gothic" w:cs="Calibri"/>
                      <w:b/>
                      <w:bCs/>
                      <w:color w:val="000000"/>
                    </w:rPr>
                  </w:pPr>
                  <w:r w:rsidRPr="00D61E32">
                    <w:rPr>
                      <w:rFonts w:ascii="Century Gothic" w:eastAsia="Times New Roman" w:hAnsi="Century Gothic" w:cs="Calibri"/>
                      <w:b/>
                      <w:bCs/>
                      <w:color w:val="000000"/>
                    </w:rPr>
                    <w:t>0%</w:t>
                  </w:r>
                </w:p>
              </w:tc>
            </w:tr>
          </w:tbl>
          <w:p w14:paraId="6DA0124A" w14:textId="77777777" w:rsidR="00EB78C2" w:rsidRPr="00D61E32" w:rsidRDefault="00EB78C2">
            <w:pPr>
              <w:rPr>
                <w:rFonts w:ascii="Century Gothic" w:eastAsia="Times New Roman" w:hAnsi="Century Gothic" w:cs="Arial"/>
                <w:b/>
                <w:bCs/>
                <w:color w:val="FF0000"/>
              </w:rPr>
            </w:pPr>
          </w:p>
          <w:p w14:paraId="30EA94A6" w14:textId="77777777" w:rsidR="00EB78C2" w:rsidRPr="00D61E32" w:rsidRDefault="00EB78C2">
            <w:pPr>
              <w:rPr>
                <w:rFonts w:ascii="Century Gothic" w:hAnsi="Century Gothic" w:cs="Arial"/>
              </w:rPr>
            </w:pPr>
            <w:r w:rsidRPr="00D61E32">
              <w:rPr>
                <w:rFonts w:ascii="Century Gothic" w:hAnsi="Century Gothic" w:cs="Arial"/>
              </w:rPr>
              <w:t xml:space="preserve">The data above shows that 9% of MH were denied retrospectively in inpatient in-network and 0% out-of-network classifications. This is less stringent compared to the 27% of Med/Surg inpatient in-network retrospective reviews denied, </w:t>
            </w:r>
            <w:proofErr w:type="gramStart"/>
            <w:r w:rsidRPr="00D61E32">
              <w:rPr>
                <w:rFonts w:ascii="Century Gothic" w:hAnsi="Century Gothic" w:cs="Arial"/>
              </w:rPr>
              <w:t>and also</w:t>
            </w:r>
            <w:proofErr w:type="gramEnd"/>
            <w:r w:rsidRPr="00D61E32">
              <w:rPr>
                <w:rFonts w:ascii="Century Gothic" w:hAnsi="Century Gothic" w:cs="Arial"/>
              </w:rPr>
              <w:t xml:space="preserve"> to the 25% of Med/Surg inpatient out-of-network retrospective reviews denied. Therefore, the percentage of denials for MH/SUD services is comparable to, and not more stringent than, the percentage of denials for Med/Surg prior authorization requests.</w:t>
            </w:r>
          </w:p>
          <w:p w14:paraId="32557035" w14:textId="77777777" w:rsidR="00EB78C2" w:rsidRPr="00D61E32" w:rsidRDefault="00EB78C2">
            <w:pPr>
              <w:rPr>
                <w:rFonts w:ascii="Century Gothic" w:hAnsi="Century Gothic" w:cs="Arial"/>
                <w:u w:val="single"/>
              </w:rPr>
            </w:pPr>
          </w:p>
          <w:p w14:paraId="12BE7B2C" w14:textId="77777777" w:rsidR="00EB78C2" w:rsidRPr="00D61E32" w:rsidRDefault="00EB78C2">
            <w:pPr>
              <w:rPr>
                <w:rFonts w:ascii="Century Gothic" w:hAnsi="Century Gothic" w:cs="Arial"/>
                <w:b/>
                <w:bCs/>
                <w:u w:val="single"/>
              </w:rPr>
            </w:pPr>
            <w:r w:rsidRPr="00D61E32">
              <w:rPr>
                <w:rFonts w:ascii="Century Gothic" w:hAnsi="Century Gothic" w:cs="Arial"/>
                <w:b/>
                <w:bCs/>
                <w:u w:val="single"/>
              </w:rPr>
              <w:t xml:space="preserve">Appeals Data </w:t>
            </w:r>
          </w:p>
          <w:p w14:paraId="3087F943" w14:textId="77777777" w:rsidR="00EB78C2" w:rsidRPr="00D61E32" w:rsidRDefault="00EB78C2">
            <w:pPr>
              <w:rPr>
                <w:rFonts w:ascii="Century Gothic" w:hAnsi="Century Gothic" w:cs="Arial"/>
                <w:b/>
                <w:bCs/>
              </w:rPr>
            </w:pPr>
            <w:r w:rsidRPr="00D61E32">
              <w:rPr>
                <w:rFonts w:ascii="Century Gothic" w:hAnsi="Century Gothic" w:cs="Arial"/>
                <w:b/>
                <w:bCs/>
              </w:rPr>
              <w:t>Inpatient</w:t>
            </w:r>
          </w:p>
          <w:tbl>
            <w:tblPr>
              <w:tblW w:w="4540" w:type="dxa"/>
              <w:tblLook w:val="04A0" w:firstRow="1" w:lastRow="0" w:firstColumn="1" w:lastColumn="0" w:noHBand="0" w:noVBand="1"/>
            </w:tblPr>
            <w:tblGrid>
              <w:gridCol w:w="1868"/>
              <w:gridCol w:w="1213"/>
              <w:gridCol w:w="1213"/>
            </w:tblGrid>
            <w:tr w:rsidR="00EB78C2" w:rsidRPr="00D61E32" w14:paraId="24D2AD01" w14:textId="77777777">
              <w:trPr>
                <w:trHeight w:val="290"/>
              </w:trPr>
              <w:tc>
                <w:tcPr>
                  <w:tcW w:w="1980" w:type="dxa"/>
                  <w:tcBorders>
                    <w:top w:val="single" w:sz="4" w:space="0" w:color="auto"/>
                    <w:left w:val="single" w:sz="8" w:space="0" w:color="auto"/>
                    <w:bottom w:val="single" w:sz="4" w:space="0" w:color="auto"/>
                    <w:right w:val="single" w:sz="8" w:space="0" w:color="auto"/>
                  </w:tcBorders>
                  <w:shd w:val="clear" w:color="auto" w:fill="BFBFBF"/>
                  <w:noWrap/>
                  <w:vAlign w:val="bottom"/>
                  <w:hideMark/>
                </w:tcPr>
                <w:p w14:paraId="6B72549B"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Network</w:t>
                  </w:r>
                </w:p>
              </w:tc>
              <w:tc>
                <w:tcPr>
                  <w:tcW w:w="1280" w:type="dxa"/>
                  <w:tcBorders>
                    <w:top w:val="single" w:sz="4" w:space="0" w:color="auto"/>
                    <w:left w:val="nil"/>
                    <w:bottom w:val="single" w:sz="4" w:space="0" w:color="auto"/>
                    <w:right w:val="single" w:sz="4" w:space="0" w:color="auto"/>
                  </w:tcBorders>
                  <w:shd w:val="clear" w:color="auto" w:fill="D9D9D9"/>
                  <w:noWrap/>
                  <w:vAlign w:val="bottom"/>
                  <w:hideMark/>
                </w:tcPr>
                <w:p w14:paraId="1C24B346"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INN</w:t>
                  </w:r>
                </w:p>
              </w:tc>
              <w:tc>
                <w:tcPr>
                  <w:tcW w:w="1280" w:type="dxa"/>
                  <w:tcBorders>
                    <w:top w:val="single" w:sz="4" w:space="0" w:color="auto"/>
                    <w:left w:val="nil"/>
                    <w:bottom w:val="single" w:sz="4" w:space="0" w:color="auto"/>
                    <w:right w:val="nil"/>
                  </w:tcBorders>
                  <w:shd w:val="clear" w:color="auto" w:fill="D9D9D9"/>
                  <w:noWrap/>
                  <w:vAlign w:val="bottom"/>
                  <w:hideMark/>
                </w:tcPr>
                <w:p w14:paraId="46FE4CBC"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OON</w:t>
                  </w:r>
                </w:p>
              </w:tc>
            </w:tr>
            <w:tr w:rsidR="00EB78C2" w:rsidRPr="00D61E32" w14:paraId="4E80BEC7" w14:textId="77777777">
              <w:trPr>
                <w:trHeight w:val="300"/>
              </w:trPr>
              <w:tc>
                <w:tcPr>
                  <w:tcW w:w="1980" w:type="dxa"/>
                  <w:tcBorders>
                    <w:top w:val="nil"/>
                    <w:left w:val="single" w:sz="8" w:space="0" w:color="auto"/>
                    <w:bottom w:val="single" w:sz="8" w:space="0" w:color="auto"/>
                    <w:right w:val="single" w:sz="8" w:space="0" w:color="auto"/>
                  </w:tcBorders>
                  <w:shd w:val="clear" w:color="auto" w:fill="BFBFBF"/>
                  <w:noWrap/>
                  <w:vAlign w:val="bottom"/>
                  <w:hideMark/>
                </w:tcPr>
                <w:p w14:paraId="4143B7A2"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Auth Type</w:t>
                  </w:r>
                </w:p>
              </w:tc>
              <w:tc>
                <w:tcPr>
                  <w:tcW w:w="1280" w:type="dxa"/>
                  <w:tcBorders>
                    <w:top w:val="nil"/>
                    <w:left w:val="nil"/>
                    <w:bottom w:val="single" w:sz="8" w:space="0" w:color="auto"/>
                    <w:right w:val="single" w:sz="4" w:space="0" w:color="auto"/>
                  </w:tcBorders>
                  <w:shd w:val="clear" w:color="auto" w:fill="D9D9D9"/>
                  <w:noWrap/>
                  <w:vAlign w:val="bottom"/>
                  <w:hideMark/>
                </w:tcPr>
                <w:p w14:paraId="5DE8AB80"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Retro</w:t>
                  </w:r>
                </w:p>
              </w:tc>
              <w:tc>
                <w:tcPr>
                  <w:tcW w:w="1280" w:type="dxa"/>
                  <w:tcBorders>
                    <w:top w:val="nil"/>
                    <w:left w:val="nil"/>
                    <w:bottom w:val="single" w:sz="8" w:space="0" w:color="auto"/>
                    <w:right w:val="nil"/>
                  </w:tcBorders>
                  <w:shd w:val="clear" w:color="auto" w:fill="D9D9D9"/>
                  <w:noWrap/>
                  <w:vAlign w:val="bottom"/>
                  <w:hideMark/>
                </w:tcPr>
                <w:p w14:paraId="42082BAF"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Retro</w:t>
                  </w:r>
                </w:p>
              </w:tc>
            </w:tr>
            <w:tr w:rsidR="00EB78C2" w:rsidRPr="00D61E32" w14:paraId="37196D1F" w14:textId="77777777">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757171"/>
                  <w:noWrap/>
                  <w:vAlign w:val="bottom"/>
                  <w:hideMark/>
                </w:tcPr>
                <w:p w14:paraId="3C23A8D7"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MH </w:t>
                  </w:r>
                </w:p>
              </w:tc>
              <w:tc>
                <w:tcPr>
                  <w:tcW w:w="1280" w:type="dxa"/>
                  <w:tcBorders>
                    <w:top w:val="nil"/>
                    <w:left w:val="nil"/>
                    <w:bottom w:val="single" w:sz="4" w:space="0" w:color="auto"/>
                    <w:right w:val="single" w:sz="4" w:space="0" w:color="auto"/>
                  </w:tcBorders>
                  <w:shd w:val="clear" w:color="auto" w:fill="757171"/>
                  <w:noWrap/>
                  <w:vAlign w:val="bottom"/>
                  <w:hideMark/>
                </w:tcPr>
                <w:p w14:paraId="3F11240F"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4" w:space="0" w:color="auto"/>
                    <w:right w:val="nil"/>
                  </w:tcBorders>
                  <w:shd w:val="clear" w:color="auto" w:fill="757171"/>
                  <w:noWrap/>
                  <w:vAlign w:val="bottom"/>
                  <w:hideMark/>
                </w:tcPr>
                <w:p w14:paraId="0FA13921"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1</w:t>
                  </w:r>
                </w:p>
              </w:tc>
            </w:tr>
            <w:tr w:rsidR="00EB78C2" w:rsidRPr="00D61E32" w14:paraId="743E85BA"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657C18B3"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Denials Upheld </w:t>
                  </w:r>
                </w:p>
              </w:tc>
              <w:tc>
                <w:tcPr>
                  <w:tcW w:w="1280" w:type="dxa"/>
                  <w:tcBorders>
                    <w:top w:val="nil"/>
                    <w:left w:val="nil"/>
                    <w:bottom w:val="single" w:sz="4" w:space="0" w:color="auto"/>
                    <w:right w:val="single" w:sz="4" w:space="0" w:color="auto"/>
                  </w:tcBorders>
                  <w:noWrap/>
                  <w:vAlign w:val="bottom"/>
                  <w:hideMark/>
                </w:tcPr>
                <w:p w14:paraId="64CC6E15"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4" w:space="0" w:color="auto"/>
                    <w:right w:val="nil"/>
                  </w:tcBorders>
                  <w:noWrap/>
                  <w:vAlign w:val="bottom"/>
                  <w:hideMark/>
                </w:tcPr>
                <w:p w14:paraId="11A7FA6B"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1</w:t>
                  </w:r>
                </w:p>
              </w:tc>
            </w:tr>
            <w:tr w:rsidR="00EB78C2" w:rsidRPr="00D61E32" w14:paraId="7651FED0"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1D9D2CE1"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Denials Overturned </w:t>
                  </w:r>
                </w:p>
              </w:tc>
              <w:tc>
                <w:tcPr>
                  <w:tcW w:w="1280" w:type="dxa"/>
                  <w:tcBorders>
                    <w:top w:val="nil"/>
                    <w:left w:val="nil"/>
                    <w:bottom w:val="single" w:sz="4" w:space="0" w:color="auto"/>
                    <w:right w:val="single" w:sz="4" w:space="0" w:color="auto"/>
                  </w:tcBorders>
                  <w:noWrap/>
                  <w:vAlign w:val="bottom"/>
                  <w:hideMark/>
                </w:tcPr>
                <w:p w14:paraId="31CF7467"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4" w:space="0" w:color="auto"/>
                    <w:right w:val="nil"/>
                  </w:tcBorders>
                  <w:noWrap/>
                  <w:vAlign w:val="bottom"/>
                  <w:hideMark/>
                </w:tcPr>
                <w:p w14:paraId="7EB163E3"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r>
            <w:tr w:rsidR="00EB78C2" w:rsidRPr="00D61E32" w14:paraId="105AA1E6" w14:textId="77777777">
              <w:trPr>
                <w:trHeight w:val="300"/>
              </w:trPr>
              <w:tc>
                <w:tcPr>
                  <w:tcW w:w="1980" w:type="dxa"/>
                  <w:tcBorders>
                    <w:top w:val="nil"/>
                    <w:left w:val="single" w:sz="8" w:space="0" w:color="auto"/>
                    <w:bottom w:val="nil"/>
                    <w:right w:val="single" w:sz="8" w:space="0" w:color="auto"/>
                  </w:tcBorders>
                  <w:shd w:val="clear" w:color="auto" w:fill="B4C6E7"/>
                  <w:noWrap/>
                  <w:vAlign w:val="bottom"/>
                  <w:hideMark/>
                </w:tcPr>
                <w:p w14:paraId="42A95B70"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MH % Upheld</w:t>
                  </w:r>
                </w:p>
              </w:tc>
              <w:tc>
                <w:tcPr>
                  <w:tcW w:w="1280" w:type="dxa"/>
                  <w:tcBorders>
                    <w:top w:val="nil"/>
                    <w:left w:val="nil"/>
                    <w:bottom w:val="single" w:sz="8" w:space="0" w:color="auto"/>
                    <w:right w:val="single" w:sz="4" w:space="0" w:color="auto"/>
                  </w:tcBorders>
                  <w:shd w:val="clear" w:color="auto" w:fill="B4C6E7"/>
                  <w:noWrap/>
                  <w:vAlign w:val="bottom"/>
                  <w:hideMark/>
                </w:tcPr>
                <w:p w14:paraId="7625A47C"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8" w:space="0" w:color="auto"/>
                    <w:right w:val="nil"/>
                  </w:tcBorders>
                  <w:shd w:val="clear" w:color="auto" w:fill="B4C6E7"/>
                  <w:noWrap/>
                  <w:vAlign w:val="bottom"/>
                  <w:hideMark/>
                </w:tcPr>
                <w:p w14:paraId="1D243038"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100%</w:t>
                  </w:r>
                </w:p>
              </w:tc>
            </w:tr>
            <w:tr w:rsidR="00EB78C2" w:rsidRPr="00D61E32" w14:paraId="7CC78169" w14:textId="77777777">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757171"/>
                  <w:noWrap/>
                  <w:vAlign w:val="bottom"/>
                  <w:hideMark/>
                </w:tcPr>
                <w:p w14:paraId="0001A7F6"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SUD </w:t>
                  </w:r>
                </w:p>
              </w:tc>
              <w:tc>
                <w:tcPr>
                  <w:tcW w:w="1280" w:type="dxa"/>
                  <w:tcBorders>
                    <w:top w:val="nil"/>
                    <w:left w:val="nil"/>
                    <w:bottom w:val="single" w:sz="4" w:space="0" w:color="auto"/>
                    <w:right w:val="single" w:sz="4" w:space="0" w:color="auto"/>
                  </w:tcBorders>
                  <w:shd w:val="clear" w:color="auto" w:fill="757171"/>
                  <w:noWrap/>
                  <w:vAlign w:val="bottom"/>
                  <w:hideMark/>
                </w:tcPr>
                <w:p w14:paraId="5A952CB5"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4" w:space="0" w:color="auto"/>
                    <w:right w:val="nil"/>
                  </w:tcBorders>
                  <w:shd w:val="clear" w:color="auto" w:fill="757171"/>
                  <w:noWrap/>
                  <w:vAlign w:val="bottom"/>
                  <w:hideMark/>
                </w:tcPr>
                <w:p w14:paraId="27E0F945"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r>
            <w:tr w:rsidR="00EB78C2" w:rsidRPr="00D61E32" w14:paraId="165FCE4C" w14:textId="77777777">
              <w:trPr>
                <w:trHeight w:val="290"/>
              </w:trPr>
              <w:tc>
                <w:tcPr>
                  <w:tcW w:w="1980" w:type="dxa"/>
                  <w:tcBorders>
                    <w:top w:val="nil"/>
                    <w:left w:val="single" w:sz="8" w:space="0" w:color="auto"/>
                    <w:bottom w:val="single" w:sz="4" w:space="0" w:color="auto"/>
                    <w:right w:val="single" w:sz="8" w:space="0" w:color="auto"/>
                  </w:tcBorders>
                  <w:noWrap/>
                  <w:vAlign w:val="bottom"/>
                  <w:hideMark/>
                </w:tcPr>
                <w:p w14:paraId="0CBCA5F0"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Denials Upheld </w:t>
                  </w:r>
                </w:p>
              </w:tc>
              <w:tc>
                <w:tcPr>
                  <w:tcW w:w="1280" w:type="dxa"/>
                  <w:tcBorders>
                    <w:top w:val="nil"/>
                    <w:left w:val="nil"/>
                    <w:bottom w:val="single" w:sz="4" w:space="0" w:color="auto"/>
                    <w:right w:val="single" w:sz="4" w:space="0" w:color="auto"/>
                  </w:tcBorders>
                  <w:noWrap/>
                  <w:vAlign w:val="bottom"/>
                  <w:hideMark/>
                </w:tcPr>
                <w:p w14:paraId="3C36A75A"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4" w:space="0" w:color="auto"/>
                    <w:right w:val="nil"/>
                  </w:tcBorders>
                  <w:noWrap/>
                  <w:vAlign w:val="bottom"/>
                  <w:hideMark/>
                </w:tcPr>
                <w:p w14:paraId="17BF0642"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r>
            <w:tr w:rsidR="00EB78C2" w:rsidRPr="00D61E32" w14:paraId="439C53D0" w14:textId="77777777">
              <w:trPr>
                <w:trHeight w:val="300"/>
              </w:trPr>
              <w:tc>
                <w:tcPr>
                  <w:tcW w:w="1980" w:type="dxa"/>
                  <w:tcBorders>
                    <w:top w:val="nil"/>
                    <w:left w:val="single" w:sz="8" w:space="0" w:color="auto"/>
                    <w:bottom w:val="nil"/>
                    <w:right w:val="single" w:sz="8" w:space="0" w:color="auto"/>
                  </w:tcBorders>
                  <w:noWrap/>
                  <w:vAlign w:val="bottom"/>
                  <w:hideMark/>
                </w:tcPr>
                <w:p w14:paraId="7479F58D"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 xml:space="preserve">Denials Overturned </w:t>
                  </w:r>
                </w:p>
              </w:tc>
              <w:tc>
                <w:tcPr>
                  <w:tcW w:w="1280" w:type="dxa"/>
                  <w:tcBorders>
                    <w:top w:val="nil"/>
                    <w:left w:val="nil"/>
                    <w:bottom w:val="single" w:sz="4" w:space="0" w:color="auto"/>
                    <w:right w:val="single" w:sz="4" w:space="0" w:color="auto"/>
                  </w:tcBorders>
                  <w:noWrap/>
                  <w:vAlign w:val="bottom"/>
                  <w:hideMark/>
                </w:tcPr>
                <w:p w14:paraId="05CE080E"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4" w:space="0" w:color="auto"/>
                    <w:right w:val="nil"/>
                  </w:tcBorders>
                  <w:noWrap/>
                  <w:vAlign w:val="bottom"/>
                  <w:hideMark/>
                </w:tcPr>
                <w:p w14:paraId="4C17AEDE"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r>
            <w:tr w:rsidR="00EB78C2" w:rsidRPr="00D61E32" w14:paraId="036C0182" w14:textId="77777777">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B4C6E7"/>
                  <w:noWrap/>
                  <w:vAlign w:val="bottom"/>
                  <w:hideMark/>
                </w:tcPr>
                <w:p w14:paraId="5F48323F" w14:textId="77777777" w:rsidR="00EB78C2" w:rsidRPr="00D61E32" w:rsidRDefault="00EB78C2">
                  <w:pPr>
                    <w:rPr>
                      <w:rFonts w:ascii="Century Gothic" w:eastAsia="Times New Roman" w:hAnsi="Century Gothic" w:cs="Calibri"/>
                      <w:b/>
                      <w:bCs/>
                      <w:color w:val="000000"/>
                    </w:rPr>
                  </w:pPr>
                  <w:r w:rsidRPr="00D61E32">
                    <w:rPr>
                      <w:rFonts w:ascii="Century Gothic" w:eastAsia="Times New Roman" w:hAnsi="Century Gothic" w:cs="Calibri"/>
                      <w:b/>
                      <w:bCs/>
                      <w:color w:val="000000"/>
                    </w:rPr>
                    <w:t>SUD % Upheld</w:t>
                  </w:r>
                </w:p>
              </w:tc>
              <w:tc>
                <w:tcPr>
                  <w:tcW w:w="1280" w:type="dxa"/>
                  <w:tcBorders>
                    <w:top w:val="nil"/>
                    <w:left w:val="nil"/>
                    <w:bottom w:val="single" w:sz="8" w:space="0" w:color="auto"/>
                    <w:right w:val="single" w:sz="4" w:space="0" w:color="auto"/>
                  </w:tcBorders>
                  <w:shd w:val="clear" w:color="auto" w:fill="B4C6E7"/>
                  <w:noWrap/>
                  <w:vAlign w:val="bottom"/>
                  <w:hideMark/>
                </w:tcPr>
                <w:p w14:paraId="6FBC7300"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c>
                <w:tcPr>
                  <w:tcW w:w="1280" w:type="dxa"/>
                  <w:tcBorders>
                    <w:top w:val="nil"/>
                    <w:left w:val="nil"/>
                    <w:bottom w:val="single" w:sz="8" w:space="0" w:color="auto"/>
                    <w:right w:val="nil"/>
                  </w:tcBorders>
                  <w:shd w:val="clear" w:color="auto" w:fill="B4C6E7"/>
                  <w:noWrap/>
                  <w:vAlign w:val="bottom"/>
                  <w:hideMark/>
                </w:tcPr>
                <w:p w14:paraId="2B94B838" w14:textId="77777777" w:rsidR="00EB78C2" w:rsidRPr="00D61E32" w:rsidRDefault="00EB78C2">
                  <w:pPr>
                    <w:jc w:val="right"/>
                    <w:rPr>
                      <w:rFonts w:ascii="Century Gothic" w:eastAsia="Times New Roman" w:hAnsi="Century Gothic" w:cs="Calibri"/>
                      <w:color w:val="000000"/>
                    </w:rPr>
                  </w:pPr>
                  <w:r w:rsidRPr="00D61E32">
                    <w:rPr>
                      <w:rFonts w:ascii="Century Gothic" w:eastAsia="Times New Roman" w:hAnsi="Century Gothic" w:cs="Calibri"/>
                      <w:color w:val="000000"/>
                    </w:rPr>
                    <w:t>0%</w:t>
                  </w:r>
                </w:p>
              </w:tc>
            </w:tr>
          </w:tbl>
          <w:p w14:paraId="61827E70" w14:textId="77777777" w:rsidR="00EB78C2" w:rsidRPr="00D61E32" w:rsidRDefault="00EB78C2">
            <w:pPr>
              <w:rPr>
                <w:rFonts w:ascii="Century Gothic" w:eastAsia="Times New Roman" w:hAnsi="Century Gothic" w:cs="Arial"/>
                <w:color w:val="FF0000"/>
              </w:rPr>
            </w:pPr>
          </w:p>
          <w:p w14:paraId="663980F3" w14:textId="77777777" w:rsidR="00EB78C2" w:rsidRPr="00D61E32" w:rsidRDefault="00EB78C2">
            <w:pPr>
              <w:rPr>
                <w:rFonts w:ascii="Century Gothic" w:hAnsi="Century Gothic" w:cs="Arial"/>
                <w:bCs/>
                <w:iCs/>
                <w:color w:val="FF0000"/>
              </w:rPr>
            </w:pPr>
            <w:r w:rsidRPr="00D61E32">
              <w:rPr>
                <w:rFonts w:ascii="Century Gothic" w:hAnsi="Century Gothic" w:cs="Arial"/>
                <w:bCs/>
                <w:iCs/>
              </w:rPr>
              <w:t xml:space="preserve">The data above shows all MHSUD denials upheld. This is less stringent compared to the denials overturned for </w:t>
            </w:r>
            <w:proofErr w:type="spellStart"/>
            <w:r w:rsidRPr="00D61E32">
              <w:rPr>
                <w:rFonts w:ascii="Century Gothic" w:hAnsi="Century Gothic" w:cs="Arial"/>
                <w:bCs/>
                <w:iCs/>
              </w:rPr>
              <w:t>MedSurg</w:t>
            </w:r>
            <w:proofErr w:type="spellEnd"/>
            <w:r w:rsidRPr="00D61E32">
              <w:rPr>
                <w:rFonts w:ascii="Century Gothic" w:hAnsi="Century Gothic" w:cs="Arial"/>
                <w:bCs/>
                <w:iCs/>
              </w:rPr>
              <w:t xml:space="preserve">. The MHSUD services are comparable and less stringent than that of </w:t>
            </w:r>
            <w:proofErr w:type="spellStart"/>
            <w:r w:rsidRPr="00D61E32">
              <w:rPr>
                <w:rFonts w:ascii="Century Gothic" w:hAnsi="Century Gothic" w:cs="Arial"/>
                <w:bCs/>
                <w:iCs/>
              </w:rPr>
              <w:t>MedSurg</w:t>
            </w:r>
            <w:proofErr w:type="spellEnd"/>
            <w:r w:rsidRPr="00D61E32">
              <w:rPr>
                <w:rFonts w:ascii="Century Gothic" w:hAnsi="Century Gothic" w:cs="Arial"/>
                <w:bCs/>
                <w:iCs/>
              </w:rPr>
              <w:t xml:space="preserve">. </w:t>
            </w:r>
          </w:p>
        </w:tc>
      </w:tr>
      <w:tr w:rsidR="00EB78C2" w:rsidRPr="00D61E32" w14:paraId="1B733835" w14:textId="77777777" w:rsidTr="0026724E">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77223B" w14:textId="77777777" w:rsidR="00EB78C2" w:rsidRPr="00D61E32" w:rsidRDefault="00EB78C2">
            <w:pPr>
              <w:rPr>
                <w:rFonts w:ascii="Century Gothic" w:eastAsia="Times New Roman" w:hAnsi="Century Gothic" w:cs="Arial"/>
                <w:b/>
                <w:bCs/>
              </w:rPr>
            </w:pPr>
            <w:r w:rsidRPr="00D61E32">
              <w:rPr>
                <w:rFonts w:ascii="Century Gothic" w:eastAsia="Times New Roman" w:hAnsi="Century Gothic" w:cs="Arial"/>
                <w:b/>
                <w:bCs/>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D61E32">
              <w:rPr>
                <w:rFonts w:ascii="Century Gothic" w:eastAsia="Times New Roman" w:hAnsi="Century Gothic" w:cs="Arial"/>
                <w:b/>
                <w:bCs/>
              </w:rPr>
              <w:t>section</w:t>
            </w:r>
            <w:proofErr w:type="gramEnd"/>
          </w:p>
          <w:p w14:paraId="5D68E056" w14:textId="77777777" w:rsidR="00EB78C2" w:rsidRPr="00D61E32" w:rsidRDefault="00EB78C2" w:rsidP="00EB78C2">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This discussion should include citations to any specific evidence considered and any results of analyses indicating that the plan or coverage is or is not in compliance with MHPAEA</w:t>
            </w:r>
            <w:r w:rsidRPr="00D61E32">
              <w:rPr>
                <w:rStyle w:val="FootnoteReference"/>
                <w:rFonts w:ascii="Century Gothic" w:eastAsia="Times New Roman" w:hAnsi="Century Gothic" w:cs="Arial"/>
                <w:bCs/>
                <w:i/>
              </w:rPr>
              <w:footnoteReference w:id="40"/>
            </w:r>
          </w:p>
        </w:tc>
      </w:tr>
      <w:tr w:rsidR="00EB78C2" w:rsidRPr="00D61E32" w14:paraId="6A9386E8" w14:textId="77777777" w:rsidTr="0026724E">
        <w:trPr>
          <w:trHeight w:val="1988"/>
        </w:trPr>
        <w:tc>
          <w:tcPr>
            <w:tcW w:w="5000" w:type="pct"/>
            <w:gridSpan w:val="2"/>
            <w:tcBorders>
              <w:top w:val="single" w:sz="4" w:space="0" w:color="auto"/>
              <w:left w:val="single" w:sz="4" w:space="0" w:color="auto"/>
              <w:bottom w:val="single" w:sz="4" w:space="0" w:color="auto"/>
              <w:right w:val="single" w:sz="4" w:space="0" w:color="auto"/>
            </w:tcBorders>
          </w:tcPr>
          <w:p w14:paraId="6AEB9FC8" w14:textId="77777777" w:rsidR="00EB78C2" w:rsidRPr="00D61E32" w:rsidRDefault="00EB78C2">
            <w:pPr>
              <w:rPr>
                <w:rFonts w:ascii="Century Gothic" w:eastAsia="Times New Roman" w:hAnsi="Century Gothic" w:cs="Arial"/>
              </w:rPr>
            </w:pPr>
            <w:r w:rsidRPr="00D61E32">
              <w:rPr>
                <w:rFonts w:ascii="Century Gothic" w:eastAsia="Times New Roman" w:hAnsi="Century Gothic" w:cs="Arial"/>
              </w:rPr>
              <w:t xml:space="preserve">As written: </w:t>
            </w:r>
          </w:p>
          <w:p w14:paraId="6C5D9E69" w14:textId="77777777" w:rsidR="00EB78C2" w:rsidRPr="00D61E32" w:rsidRDefault="00EB78C2">
            <w:pPr>
              <w:pStyle w:val="BodyText"/>
              <w:spacing w:before="8" w:line="256" w:lineRule="auto"/>
              <w:rPr>
                <w:rFonts w:ascii="Century Gothic" w:eastAsiaTheme="minorHAnsi" w:hAnsi="Century Gothic" w:cs="Arial"/>
                <w:sz w:val="22"/>
                <w:szCs w:val="22"/>
              </w:rPr>
            </w:pPr>
            <w:r w:rsidRPr="00D61E32">
              <w:rPr>
                <w:rFonts w:ascii="Century Gothic" w:hAnsi="Century Gothic" w:cs="Arial"/>
                <w:sz w:val="22"/>
                <w:szCs w:val="22"/>
              </w:rPr>
              <w:t>Cigna has assessed several components of its utilization management program for NQTL compliance, including the methodology for determining which services will be subject to utilization management, the process for reviewing utilization management requests, and the process for developing coverage criteria.</w:t>
            </w:r>
          </w:p>
          <w:p w14:paraId="4A2FA965" w14:textId="28D167C5" w:rsidR="00EB78C2" w:rsidRPr="00D61E32" w:rsidRDefault="00EB78C2" w:rsidP="00E70A33">
            <w:pPr>
              <w:pStyle w:val="BodyText"/>
              <w:spacing w:before="8" w:line="256" w:lineRule="auto"/>
              <w:rPr>
                <w:rFonts w:ascii="Century Gothic" w:hAnsi="Century Gothic" w:cs="Arial"/>
                <w:sz w:val="22"/>
                <w:szCs w:val="22"/>
              </w:rPr>
            </w:pPr>
            <w:r w:rsidRPr="00D61E32">
              <w:rPr>
                <w:rFonts w:ascii="Century Gothic" w:hAnsi="Century Gothic" w:cs="Arial"/>
                <w:sz w:val="22"/>
                <w:szCs w:val="22"/>
              </w:rPr>
              <w:t>Cigna's methodology for determining which medical/surgical services and which MH/SUD services within a classification of benefits are subject to concurrent review as written and in operation, as well as its concurrent medical necessity review processes applied to medical/surgical services and for MH/SUD services as written and in operation reflect they are comparable and no more stringent for MH/SUD services within a classification of benefits than for medical/surgical services within the same classification of benefits.</w:t>
            </w:r>
          </w:p>
          <w:p w14:paraId="21825ADD" w14:textId="77777777" w:rsidR="00EB78C2" w:rsidRPr="00D61E32" w:rsidRDefault="00EB78C2">
            <w:pPr>
              <w:pStyle w:val="BodyText"/>
              <w:spacing w:before="8" w:line="256" w:lineRule="auto"/>
              <w:rPr>
                <w:rFonts w:ascii="Century Gothic" w:hAnsi="Century Gothic" w:cs="Arial"/>
                <w:sz w:val="22"/>
                <w:szCs w:val="22"/>
              </w:rPr>
            </w:pPr>
            <w:r w:rsidRPr="00D61E32">
              <w:rPr>
                <w:rFonts w:ascii="Century Gothic" w:hAnsi="Century Gothic" w:cs="Arial"/>
                <w:sz w:val="22"/>
                <w:szCs w:val="22"/>
              </w:rPr>
              <w:t xml:space="preserve">In operation: </w:t>
            </w:r>
          </w:p>
          <w:p w14:paraId="7D31B862" w14:textId="0486A924" w:rsidR="00EB78C2" w:rsidRPr="00E70A33" w:rsidRDefault="00EB78C2" w:rsidP="00E70A33">
            <w:pPr>
              <w:ind w:right="216"/>
              <w:jc w:val="both"/>
              <w:textAlignment w:val="baseline"/>
              <w:rPr>
                <w:rFonts w:ascii="Century Gothic" w:eastAsia="Arial" w:hAnsi="Century Gothic" w:cs="Arial"/>
              </w:rPr>
            </w:pPr>
            <w:r w:rsidRPr="00D61E32">
              <w:rPr>
                <w:rFonts w:ascii="Century Gothic" w:eastAsia="Arial" w:hAnsi="Century Gothic" w:cs="Arial"/>
                <w:bCs/>
              </w:rPr>
              <w:t xml:space="preserve">As demonstrated by the data outlined in Step 4(b), </w:t>
            </w:r>
            <w:r w:rsidRPr="00D61E32">
              <w:rPr>
                <w:rFonts w:ascii="Century Gothic" w:eastAsia="Arial" w:hAnsi="Century Gothic" w:cs="Arial"/>
              </w:rPr>
              <w:t>an “in operation” review of Wellfleet Cigna’s application of the Retrospective Review NQTL,</w:t>
            </w:r>
            <w:r w:rsidRPr="00D61E32">
              <w:rPr>
                <w:rFonts w:ascii="Century Gothic" w:eastAsia="Arial" w:hAnsi="Century Gothic" w:cs="Arial"/>
                <w:color w:val="FF0000"/>
              </w:rPr>
              <w:t xml:space="preserve"> </w:t>
            </w:r>
            <w:r w:rsidRPr="00D61E32">
              <w:rPr>
                <w:rFonts w:ascii="Century Gothic" w:eastAsia="Arial" w:hAnsi="Century Gothic" w:cs="Arial"/>
              </w:rPr>
              <w:t>specifically approvals and denial information, in the inpatient classification revealed no statistically significant discrepancies in denial rates between MH/SUD and M/S benefits.  While operational outcomes are not determinative of NQTL compliance, and an insurer may comply with the NQTL requirement notwithstanding a disparate outcome for an NQTL applied to MH/SUD benefits as compared to M/S benefits, comparable outcomes can help evidence compliance with the in-operation component of the NQTL requirement. Consequently, Cigna concludes that the NQTL was applied comparably and no more stringently to MH/SUD benefits than to M/S benefits.</w:t>
            </w:r>
          </w:p>
          <w:p w14:paraId="5818C6F6" w14:textId="3D1382E0" w:rsidR="00EB78C2" w:rsidRPr="00D61E32" w:rsidRDefault="00EB78C2">
            <w:pPr>
              <w:rPr>
                <w:rFonts w:ascii="Century Gothic" w:eastAsia="Arial" w:hAnsi="Century Gothic" w:cs="Arial"/>
              </w:rPr>
            </w:pPr>
            <w:r w:rsidRPr="00D61E32">
              <w:rPr>
                <w:rFonts w:ascii="Century Gothic" w:eastAsia="Times New Roman" w:hAnsi="Century Gothic" w:cs="Arial"/>
              </w:rPr>
              <w:t xml:space="preserve">Findings conclusions: </w:t>
            </w:r>
            <w:r w:rsidRPr="00D61E32">
              <w:rPr>
                <w:rFonts w:ascii="Century Gothic" w:eastAsia="Arial" w:hAnsi="Century Gothic" w:cs="Arial"/>
              </w:rPr>
              <w:t xml:space="preserve"> </w:t>
            </w:r>
          </w:p>
          <w:p w14:paraId="10878A8B" w14:textId="30909914" w:rsidR="00EB78C2" w:rsidRPr="00E70A33" w:rsidRDefault="00EB78C2">
            <w:pPr>
              <w:pStyle w:val="Default"/>
              <w:spacing w:line="256" w:lineRule="auto"/>
              <w:jc w:val="both"/>
              <w:rPr>
                <w:rFonts w:ascii="Century Gothic" w:hAnsi="Century Gothic" w:cs="Arial"/>
                <w:color w:val="auto"/>
                <w:sz w:val="22"/>
                <w:szCs w:val="22"/>
              </w:rPr>
            </w:pPr>
            <w:r w:rsidRPr="00D61E32">
              <w:rPr>
                <w:rFonts w:ascii="Century Gothic" w:hAnsi="Century Gothic"/>
                <w:sz w:val="22"/>
                <w:szCs w:val="22"/>
              </w:rPr>
              <w:t xml:space="preserve">The comparative analysis performed for application of Retrospective Review to inpatient benefits evidence compliance with the MHPAEA NQTL requirement, in writing and in operation. </w:t>
            </w:r>
            <w:r w:rsidRPr="00D61E32">
              <w:rPr>
                <w:rFonts w:ascii="Century Gothic" w:hAnsi="Century Gothic"/>
                <w:color w:val="auto"/>
                <w:sz w:val="22"/>
                <w:szCs w:val="22"/>
              </w:rPr>
              <w:t xml:space="preserve">Cigna's analysis of the process and policies governing the application of Retrospective Review across MH/SUD and M/S benefits, as well as the process by which MH/SUD and M/S services are selected for application of Retrospective Review, </w:t>
            </w:r>
            <w:proofErr w:type="gramStart"/>
            <w:r w:rsidRPr="00D61E32">
              <w:rPr>
                <w:rFonts w:ascii="Century Gothic" w:hAnsi="Century Gothic"/>
                <w:color w:val="auto"/>
                <w:sz w:val="22"/>
                <w:szCs w:val="22"/>
              </w:rPr>
              <w:t>evidences</w:t>
            </w:r>
            <w:proofErr w:type="gramEnd"/>
            <w:r w:rsidRPr="00D61E32">
              <w:rPr>
                <w:rFonts w:ascii="Century Gothic" w:hAnsi="Century Gothic"/>
                <w:color w:val="auto"/>
                <w:sz w:val="22"/>
                <w:szCs w:val="22"/>
              </w:rPr>
              <w:t xml:space="preserve"> comparability and equivalent stringency, in writing and in operation.  The written process, the trigger for application of Retrospective Review, and the medical necessity standard used to review services subject to Retrospective Review, comparable across MH/SUD and M/S benefits, but the assessment of denial rates across Wellfleet’s plans do not reveal any potential “warning signs” warranting further assessment and/or changes to how the Retrospective Review NQTL is designed or applied to MH/SUD benefits.</w:t>
            </w:r>
          </w:p>
          <w:p w14:paraId="753E1E85" w14:textId="364D559B" w:rsidR="00EB78C2" w:rsidRPr="00E70A33" w:rsidRDefault="00EB78C2">
            <w:pPr>
              <w:pStyle w:val="Default"/>
              <w:spacing w:line="256" w:lineRule="auto"/>
              <w:jc w:val="both"/>
              <w:rPr>
                <w:rFonts w:ascii="Century Gothic" w:hAnsi="Century Gothic"/>
                <w:sz w:val="22"/>
                <w:szCs w:val="22"/>
              </w:rPr>
            </w:pPr>
            <w:r w:rsidRPr="00D61E32">
              <w:rPr>
                <w:rFonts w:ascii="Century Gothic" w:hAnsi="Century Gothic"/>
                <w:color w:val="auto"/>
                <w:sz w:val="22"/>
                <w:szCs w:val="22"/>
              </w:rPr>
              <w:t xml:space="preserve">The factor and its accompanying evidentiary standard used to determine whether Concurrent Review will apply to an inpatient </w:t>
            </w:r>
            <w:r w:rsidRPr="00D61E32">
              <w:rPr>
                <w:rFonts w:ascii="Century Gothic" w:eastAsia="Times New Roman" w:hAnsi="Century Gothic"/>
                <w:color w:val="auto"/>
                <w:sz w:val="22"/>
                <w:szCs w:val="22"/>
              </w:rPr>
              <w:t xml:space="preserve">or outpatient </w:t>
            </w:r>
            <w:r w:rsidRPr="00D61E32">
              <w:rPr>
                <w:rFonts w:ascii="Century Gothic" w:hAnsi="Century Gothic"/>
                <w:color w:val="auto"/>
                <w:sz w:val="22"/>
                <w:szCs w:val="22"/>
              </w:rPr>
              <w:t>service pursuant to the above-described process, namely the ROI metric, is likewise uniform for MH/SUD and M/S benefits. Wellfleet does not use different factors or evidentiary standards, or use the same factor and evidentiary standard differently, when reviewing MH/SUD and M/S benefits for continued inclusion on the list of services subject to Retrospective Review.</w:t>
            </w:r>
          </w:p>
          <w:p w14:paraId="21127536" w14:textId="4FD9DDC5" w:rsidR="00EB78C2" w:rsidRPr="00D61E32" w:rsidRDefault="00EB78C2">
            <w:pPr>
              <w:rPr>
                <w:rFonts w:ascii="Century Gothic" w:eastAsia="Arial" w:hAnsi="Century Gothic" w:cs="Arial"/>
              </w:rPr>
            </w:pPr>
            <w:r w:rsidRPr="00D61E32">
              <w:rPr>
                <w:rFonts w:ascii="Century Gothic" w:hAnsi="Century Gothic" w:cs="Arial"/>
              </w:rPr>
              <w:t>Wellfleet methodology for determining which M/S services and which MH/SUD services within a classification of benefits are subject Retrospective Review as written and in operation, as well as its medical necessity review processes, are no more stringent for MH/SUD services than for M/S services within the same classification of benefits.</w:t>
            </w:r>
          </w:p>
          <w:p w14:paraId="5C274BCB" w14:textId="77777777" w:rsidR="00EB78C2" w:rsidRPr="00D61E32" w:rsidRDefault="00EB78C2">
            <w:pPr>
              <w:rPr>
                <w:rFonts w:ascii="Century Gothic" w:eastAsia="Times New Roman" w:hAnsi="Century Gothic" w:cs="Arial"/>
              </w:rPr>
            </w:pPr>
            <w:r w:rsidRPr="00D61E32">
              <w:rPr>
                <w:rFonts w:ascii="Century Gothic" w:eastAsia="Arial" w:hAnsi="Century Gothic" w:cs="Arial"/>
              </w:rPr>
              <w:t>Wellfleet has determined that Retrospective Review is applied for MH/SUD benefits in a manner that is comparable to and no more stringent than that of M/S services, both as written and in operation, based on the information presented above that describes in detail the evidentiary standards, processes, strategies, and factors used to impose Retrospective Review.</w:t>
            </w:r>
          </w:p>
        </w:tc>
      </w:tr>
    </w:tbl>
    <w:p w14:paraId="30A912CD" w14:textId="77777777" w:rsidR="00300B1E" w:rsidRPr="00D61E32" w:rsidRDefault="00300B1E" w:rsidP="00A57FFD">
      <w:pPr>
        <w:rPr>
          <w:rFonts w:ascii="Century Gothic" w:hAnsi="Century Gothic" w:cs="Times New Roman"/>
        </w:rPr>
      </w:pPr>
    </w:p>
    <w:p w14:paraId="511C8FDB" w14:textId="77777777" w:rsidR="00D36D15" w:rsidRPr="00D61E32" w:rsidRDefault="00D36D15" w:rsidP="00D36D15">
      <w:pPr>
        <w:pStyle w:val="ListParagraph"/>
        <w:numPr>
          <w:ilvl w:val="0"/>
          <w:numId w:val="3"/>
        </w:numPr>
        <w:rPr>
          <w:rFonts w:ascii="Century Gothic" w:hAnsi="Century Gothic" w:cs="Times New Roman"/>
          <w:b/>
          <w:u w:val="single"/>
        </w:rPr>
      </w:pPr>
      <w:r w:rsidRPr="00D61E32">
        <w:rPr>
          <w:rFonts w:ascii="Century Gothic" w:hAnsi="Century Gothic" w:cs="Times New Roman"/>
          <w:b/>
          <w:u w:val="single"/>
        </w:rPr>
        <w:t>Process for Assessment of New Technologies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3103B" w:rsidRPr="00D61E32" w14:paraId="46B7F482" w14:textId="77777777" w:rsidTr="00AA24AC">
        <w:trPr>
          <w:trHeight w:val="476"/>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C46087" w14:textId="77777777" w:rsidR="0053103B" w:rsidRPr="00D61E32" w:rsidRDefault="0053103B">
            <w:pPr>
              <w:rPr>
                <w:rFonts w:ascii="Century Gothic" w:eastAsia="Times New Roman" w:hAnsi="Century Gothic" w:cs="Arial"/>
                <w:b/>
                <w:bCs/>
              </w:rPr>
            </w:pPr>
            <w:r w:rsidRPr="00D61E32">
              <w:rPr>
                <w:rFonts w:ascii="Century Gothic" w:eastAsia="Times New Roman" w:hAnsi="Century Gothic" w:cs="Arial"/>
                <w:b/>
                <w:bCs/>
              </w:rPr>
              <w:t xml:space="preserve">NQTL: Experimental and Investigational Determinations </w:t>
            </w:r>
          </w:p>
        </w:tc>
      </w:tr>
      <w:tr w:rsidR="0053103B" w:rsidRPr="00D61E32" w14:paraId="234C9ADE" w14:textId="77777777" w:rsidTr="007B4D04">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BF46C" w14:textId="77777777" w:rsidR="0053103B" w:rsidRPr="00D61E32" w:rsidRDefault="0053103B">
            <w:pPr>
              <w:rPr>
                <w:rFonts w:ascii="Century Gothic" w:eastAsia="Times New Roman" w:hAnsi="Century Gothic" w:cs="Arial"/>
                <w:b/>
                <w:bCs/>
              </w:rPr>
            </w:pPr>
            <w:r w:rsidRPr="00D61E32">
              <w:rPr>
                <w:rFonts w:ascii="Century Gothic" w:eastAsia="Times New Roman" w:hAnsi="Century Gothic" w:cs="Arial"/>
                <w:b/>
                <w:bCs/>
              </w:rPr>
              <w:t xml:space="preserve">Classification(s):  Inpatient, Outpatient, and Emergency </w:t>
            </w:r>
          </w:p>
        </w:tc>
      </w:tr>
      <w:tr w:rsidR="0053103B" w:rsidRPr="00D61E32" w14:paraId="7C25F45B" w14:textId="77777777" w:rsidTr="007B4D04">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E0300" w14:textId="77777777" w:rsidR="0053103B" w:rsidRPr="00D61E32" w:rsidRDefault="0053103B">
            <w:pPr>
              <w:rPr>
                <w:rFonts w:ascii="Century Gothic" w:eastAsia="Times New Roman" w:hAnsi="Century Gothic" w:cs="Arial"/>
                <w:b/>
                <w:bCs/>
              </w:rPr>
            </w:pPr>
            <w:r w:rsidRPr="00D61E32">
              <w:rPr>
                <w:rFonts w:ascii="Century Gothic" w:eastAsia="Times New Roman" w:hAnsi="Century Gothic" w:cs="Arial"/>
                <w:b/>
                <w:bCs/>
              </w:rPr>
              <w:t>Step 1 – Identify the specific plan or coverage terms or other relevant terms regarding Experimental and Investigational Determinations and a description of all mental health or substance use disorder and medical or surgical benefits to which each such term applies in each respective benefits classification</w:t>
            </w:r>
          </w:p>
        </w:tc>
      </w:tr>
      <w:tr w:rsidR="0053103B" w:rsidRPr="00D61E32" w14:paraId="08DC7CB6" w14:textId="77777777" w:rsidTr="007B4D04">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571C53B3" w14:textId="77777777" w:rsidR="0053103B" w:rsidRPr="00D61E32" w:rsidRDefault="0053103B">
            <w:pPr>
              <w:rPr>
                <w:rFonts w:ascii="Century Gothic" w:eastAsia="Times New Roman" w:hAnsi="Century Gothic" w:cs="Arial"/>
                <w:bCs/>
              </w:rPr>
            </w:pPr>
            <w:r w:rsidRPr="00D61E32">
              <w:rPr>
                <w:rFonts w:ascii="Century Gothic" w:eastAsia="Times New Roman" w:hAnsi="Century Gothic" w:cs="Arial"/>
                <w:b/>
                <w:bCs/>
                <w:i/>
              </w:rPr>
              <w:t>Step 1(a): Provide a clear description of the specific NQTL, plan terms, and policies at issue</w:t>
            </w:r>
            <w:r w:rsidRPr="00D61E32">
              <w:rPr>
                <w:rFonts w:ascii="Century Gothic" w:eastAsia="Times New Roman" w:hAnsi="Century Gothic" w:cs="Arial"/>
                <w:bCs/>
              </w:rPr>
              <w:t>:</w:t>
            </w:r>
            <w:r w:rsidRPr="00D61E32">
              <w:rPr>
                <w:rStyle w:val="FootnoteReference"/>
                <w:rFonts w:ascii="Century Gothic" w:eastAsia="Times New Roman" w:hAnsi="Century Gothic" w:cs="Arial"/>
                <w:bCs/>
              </w:rPr>
              <w:footnoteReference w:id="41"/>
            </w:r>
            <w:r w:rsidRPr="00D61E32">
              <w:rPr>
                <w:rFonts w:ascii="Century Gothic" w:eastAsia="Times New Roman" w:hAnsi="Century Gothic" w:cs="Arial"/>
                <w:bCs/>
              </w:rPr>
              <w:t xml:space="preserve"> </w:t>
            </w:r>
          </w:p>
          <w:p w14:paraId="74C3D19E" w14:textId="77777777" w:rsidR="0053103B" w:rsidRPr="00D61E32" w:rsidRDefault="0053103B">
            <w:pPr>
              <w:pStyle w:val="ListParagraph"/>
              <w:ind w:left="72"/>
              <w:rPr>
                <w:rFonts w:ascii="Century Gothic" w:eastAsia="Times New Roman" w:hAnsi="Century Gothic" w:cs="Arial"/>
              </w:rPr>
            </w:pPr>
            <w:r w:rsidRPr="00D61E32">
              <w:rPr>
                <w:rFonts w:ascii="Century Gothic" w:eastAsia="Times New Roman" w:hAnsi="Century Gothic" w:cs="Arial"/>
              </w:rPr>
              <w:t>“Experimental/Investigative” means the service or supply has not been demonstrated in scientifically valid clinical trials and research studies to be safe and effective for a particular indication.</w:t>
            </w:r>
          </w:p>
          <w:p w14:paraId="13626376" w14:textId="7E4E0684" w:rsidR="0053103B" w:rsidRPr="00AA24AC" w:rsidRDefault="0053103B" w:rsidP="00AA24AC">
            <w:pPr>
              <w:pStyle w:val="ListParagraph"/>
              <w:ind w:left="72"/>
              <w:rPr>
                <w:rFonts w:ascii="Century Gothic" w:eastAsia="Times New Roman" w:hAnsi="Century Gothic" w:cs="Arial"/>
              </w:rPr>
            </w:pPr>
            <w:r w:rsidRPr="00D61E32">
              <w:rPr>
                <w:rFonts w:ascii="Century Gothic" w:eastAsia="Times New Roman" w:hAnsi="Century Gothic" w:cs="Arial"/>
              </w:rPr>
              <w:t>Wellfleet does not cover any health care service, procedure, treatment, device, or Prescription Drug that is experimental or investigational, unless Our denial is overturned by an External Appeal Agent.</w:t>
            </w:r>
          </w:p>
          <w:p w14:paraId="408E68DA"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rPr>
              <w:t>“</w:t>
            </w:r>
            <w:r w:rsidRPr="00D61E32">
              <w:rPr>
                <w:rFonts w:ascii="Century Gothic" w:eastAsia="Times New Roman" w:hAnsi="Century Gothic" w:cs="Arial"/>
                <w:lang w:val="x-none"/>
              </w:rPr>
              <w:t>Experimental, investigational and unproven (EIU) services</w:t>
            </w:r>
            <w:r w:rsidRPr="00D61E32">
              <w:rPr>
                <w:rFonts w:ascii="Century Gothic" w:eastAsia="Times New Roman" w:hAnsi="Century Gothic" w:cs="Arial"/>
              </w:rPr>
              <w:t>”</w:t>
            </w:r>
            <w:r w:rsidRPr="00D61E32">
              <w:rPr>
                <w:rFonts w:ascii="Century Gothic" w:eastAsia="Times New Roman" w:hAnsi="Century Gothic" w:cs="Arial"/>
                <w:lang w:val="x-none"/>
              </w:rPr>
              <w:t xml:space="preserve"> </w:t>
            </w:r>
            <w:r w:rsidRPr="00D61E32">
              <w:rPr>
                <w:rFonts w:ascii="Century Gothic" w:eastAsia="Times New Roman" w:hAnsi="Century Gothic" w:cs="Arial"/>
              </w:rPr>
              <w:t xml:space="preserve">are medical, surgical, diagnostic, or other health care technologies, supplies, treatments, procedures, drug therapies or devices that are determined by Cigna's Coverage Policy Unit (CPU), in partnership with Cigna's Medical Technology Assessment Committee, to be: </w:t>
            </w:r>
            <w:bookmarkStart w:id="18" w:name="_Hlk118448894"/>
          </w:p>
          <w:p w14:paraId="32595BDF" w14:textId="77777777" w:rsidR="0053103B" w:rsidRPr="00D61E32" w:rsidRDefault="0053103B" w:rsidP="0053103B">
            <w:pPr>
              <w:numPr>
                <w:ilvl w:val="0"/>
                <w:numId w:val="26"/>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not demonstrated through or an inadequate volume </w:t>
            </w:r>
            <w:proofErr w:type="gramStart"/>
            <w:r w:rsidRPr="00D61E32">
              <w:rPr>
                <w:rFonts w:ascii="Century Gothic" w:eastAsia="Times New Roman" w:hAnsi="Century Gothic" w:cs="Arial"/>
              </w:rPr>
              <w:t>of,</w:t>
            </w:r>
            <w:proofErr w:type="gramEnd"/>
            <w:r w:rsidRPr="00D61E32">
              <w:rPr>
                <w:rFonts w:ascii="Century Gothic" w:eastAsia="Times New Roman" w:hAnsi="Century Gothic" w:cs="Arial"/>
              </w:rPr>
              <w:t xml:space="preserve"> existing peer-reviewed, evidence-based, scientific literature to be safe and effective for treating or diagnosing the condition or sickness for which its use is proposed; </w:t>
            </w:r>
          </w:p>
          <w:p w14:paraId="29264A56" w14:textId="77777777" w:rsidR="0053103B" w:rsidRPr="00D61E32" w:rsidRDefault="0053103B" w:rsidP="0053103B">
            <w:pPr>
              <w:numPr>
                <w:ilvl w:val="0"/>
                <w:numId w:val="26"/>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not approved by the U.S. Food and Drug Administration (FDA) or </w:t>
            </w:r>
            <w:proofErr w:type="gramStart"/>
            <w:r w:rsidRPr="00D61E32">
              <w:rPr>
                <w:rFonts w:ascii="Century Gothic" w:eastAsia="Times New Roman" w:hAnsi="Century Gothic" w:cs="Arial"/>
              </w:rPr>
              <w:t>other</w:t>
            </w:r>
            <w:proofErr w:type="gramEnd"/>
            <w:r w:rsidRPr="00D61E32">
              <w:rPr>
                <w:rFonts w:ascii="Century Gothic" w:eastAsia="Times New Roman" w:hAnsi="Century Gothic" w:cs="Arial"/>
              </w:rPr>
              <w:t xml:space="preserve"> appropriate regulatory agency to be lawfully marketed for the proposed use; </w:t>
            </w:r>
          </w:p>
          <w:p w14:paraId="0D8BCCED" w14:textId="342022CF" w:rsidR="0053103B" w:rsidRPr="00AA24AC" w:rsidRDefault="0053103B" w:rsidP="00AA24AC">
            <w:pPr>
              <w:numPr>
                <w:ilvl w:val="0"/>
                <w:numId w:val="26"/>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the subject of review or approval by an Institutional Review Board for the proposed use except as provided in the “Clinical Trials” section(s) of this plan; or the subject of an ongoing phase I, II or III clinical trial, except for routine patient care costs related to qualified clinical trials as provided in the “Clinical Trials” section(s) of this plan. </w:t>
            </w:r>
            <w:bookmarkEnd w:id="18"/>
          </w:p>
          <w:p w14:paraId="32D0A1D0" w14:textId="21636157" w:rsidR="0053103B" w:rsidRPr="00AA24AC" w:rsidRDefault="0053103B" w:rsidP="00AA24AC">
            <w:pPr>
              <w:rPr>
                <w:rFonts w:ascii="Century Gothic" w:eastAsia="Times New Roman" w:hAnsi="Century Gothic" w:cs="Arial"/>
              </w:rPr>
            </w:pPr>
            <w:r w:rsidRPr="00D61E32">
              <w:rPr>
                <w:rFonts w:ascii="Century Gothic" w:eastAsia="Times New Roman" w:hAnsi="Century Gothic" w:cs="Arial"/>
              </w:rPr>
              <w:t>Wellfleet delegates its non-Pharmacy Utilization Management to Cigna. Cigna is responsible for determining which</w:t>
            </w:r>
            <w:r w:rsidRPr="00D61E32">
              <w:rPr>
                <w:rFonts w:ascii="Century Gothic" w:hAnsi="Century Gothic"/>
              </w:rPr>
              <w:t xml:space="preserve"> </w:t>
            </w:r>
            <w:r w:rsidRPr="00D61E32">
              <w:rPr>
                <w:rFonts w:ascii="Century Gothic" w:eastAsia="Times New Roman" w:hAnsi="Century Gothic" w:cs="Arial"/>
              </w:rPr>
              <w:t xml:space="preserve">non-Pharmacy benefits are eligible for E/I review. As such, Cigna’s utilization management policies are used to determine E/I </w:t>
            </w:r>
            <w:proofErr w:type="gramStart"/>
            <w:r w:rsidRPr="00D61E32">
              <w:rPr>
                <w:rFonts w:ascii="Century Gothic" w:eastAsia="Times New Roman" w:hAnsi="Century Gothic" w:cs="Arial"/>
              </w:rPr>
              <w:t>factors</w:t>
            </w:r>
            <w:proofErr w:type="gramEnd"/>
            <w:r w:rsidRPr="00D61E32">
              <w:rPr>
                <w:rFonts w:ascii="Century Gothic" w:eastAsia="Times New Roman" w:hAnsi="Century Gothic" w:cs="Arial"/>
              </w:rPr>
              <w:t>, sources and evidentiary standards. Their policies are used to determine operational aspects of E/</w:t>
            </w:r>
            <w:proofErr w:type="gramStart"/>
            <w:r w:rsidRPr="00D61E32">
              <w:rPr>
                <w:rFonts w:ascii="Century Gothic" w:eastAsia="Times New Roman" w:hAnsi="Century Gothic" w:cs="Arial"/>
              </w:rPr>
              <w:t>I, and</w:t>
            </w:r>
            <w:proofErr w:type="gramEnd"/>
            <w:r w:rsidRPr="00D61E32">
              <w:rPr>
                <w:rFonts w:ascii="Century Gothic" w:eastAsia="Times New Roman" w:hAnsi="Century Gothic" w:cs="Arial"/>
              </w:rPr>
              <w:t xml:space="preserve"> are addressed in this NQTL accordingly.</w:t>
            </w:r>
          </w:p>
        </w:tc>
      </w:tr>
      <w:tr w:rsidR="0053103B" w:rsidRPr="00D61E32" w14:paraId="00B7BD21" w14:textId="77777777" w:rsidTr="007B4D04">
        <w:trPr>
          <w:trHeight w:val="350"/>
        </w:trPr>
        <w:tc>
          <w:tcPr>
            <w:tcW w:w="2500" w:type="pct"/>
            <w:tcBorders>
              <w:top w:val="single" w:sz="4" w:space="0" w:color="auto"/>
              <w:left w:val="single" w:sz="4" w:space="0" w:color="auto"/>
              <w:bottom w:val="single" w:sz="4" w:space="0" w:color="auto"/>
              <w:right w:val="single" w:sz="4" w:space="0" w:color="auto"/>
            </w:tcBorders>
          </w:tcPr>
          <w:p w14:paraId="1C997034" w14:textId="58C28E46" w:rsidR="0053103B" w:rsidRPr="00D61E32" w:rsidRDefault="0053103B">
            <w:pPr>
              <w:rPr>
                <w:rFonts w:ascii="Century Gothic" w:eastAsia="Times New Roman" w:hAnsi="Century Gothic" w:cs="Arial"/>
                <w:b/>
                <w:i/>
              </w:rPr>
            </w:pPr>
            <w:r w:rsidRPr="00D61E32">
              <w:rPr>
                <w:rFonts w:ascii="Century Gothic" w:eastAsia="Times New Roman" w:hAnsi="Century Gothic" w:cs="Arial"/>
                <w:b/>
                <w:i/>
              </w:rPr>
              <w:t xml:space="preserve">Step 1(b): Identify the M/S benefits/services to which </w:t>
            </w:r>
            <w:r w:rsidRPr="00D61E32">
              <w:rPr>
                <w:rFonts w:ascii="Century Gothic" w:eastAsia="Times New Roman" w:hAnsi="Century Gothic" w:cs="Arial"/>
                <w:b/>
                <w:bCs/>
                <w:i/>
              </w:rPr>
              <w:t>Experimental and Investigational Determinations</w:t>
            </w:r>
            <w:r w:rsidRPr="00D61E32">
              <w:rPr>
                <w:rFonts w:ascii="Century Gothic" w:eastAsia="Times New Roman" w:hAnsi="Century Gothic" w:cs="Arial"/>
                <w:b/>
                <w:i/>
              </w:rPr>
              <w:t xml:space="preserve"> is applied:</w:t>
            </w:r>
            <w:r w:rsidRPr="00D61E32">
              <w:rPr>
                <w:rStyle w:val="FootnoteReference"/>
                <w:rFonts w:ascii="Century Gothic" w:eastAsia="Times New Roman" w:hAnsi="Century Gothic" w:cs="Arial"/>
                <w:b/>
                <w:i/>
              </w:rPr>
              <w:footnoteReference w:id="42"/>
            </w:r>
          </w:p>
          <w:p w14:paraId="4BEA7578" w14:textId="7C9A1B0C" w:rsidR="0053103B" w:rsidRPr="00AA24AC" w:rsidRDefault="0053103B">
            <w:pPr>
              <w:rPr>
                <w:rFonts w:ascii="Century Gothic" w:eastAsia="Times New Roman" w:hAnsi="Century Gothic" w:cs="Arial"/>
                <w:b/>
              </w:rPr>
            </w:pPr>
            <w:r w:rsidRPr="00D61E32">
              <w:rPr>
                <w:rFonts w:ascii="Century Gothic" w:eastAsia="Times New Roman" w:hAnsi="Century Gothic" w:cs="Arial"/>
              </w:rPr>
              <w:t xml:space="preserve">The evaluation of Experimental, Investigational and Unproven (“EIU”) services are applicable to all M/S services, regardless of benefit classification. </w:t>
            </w:r>
          </w:p>
        </w:tc>
        <w:tc>
          <w:tcPr>
            <w:tcW w:w="2500" w:type="pct"/>
            <w:tcBorders>
              <w:top w:val="single" w:sz="4" w:space="0" w:color="auto"/>
              <w:left w:val="single" w:sz="4" w:space="0" w:color="auto"/>
              <w:bottom w:val="single" w:sz="4" w:space="0" w:color="auto"/>
              <w:right w:val="single" w:sz="4" w:space="0" w:color="auto"/>
            </w:tcBorders>
          </w:tcPr>
          <w:p w14:paraId="21FA7692" w14:textId="052503F9" w:rsidR="0053103B" w:rsidRPr="00D61E32" w:rsidRDefault="0053103B">
            <w:pPr>
              <w:rPr>
                <w:rFonts w:ascii="Century Gothic" w:eastAsia="Times New Roman" w:hAnsi="Century Gothic" w:cs="Arial"/>
              </w:rPr>
            </w:pPr>
            <w:r w:rsidRPr="00D61E32">
              <w:rPr>
                <w:rFonts w:ascii="Century Gothic" w:eastAsia="Times New Roman" w:hAnsi="Century Gothic" w:cs="Arial"/>
                <w:b/>
                <w:i/>
              </w:rPr>
              <w:t>Step 1(b): Identify the MH/SUD benefits/services to which Experimental and Investigational Determinations is applied</w:t>
            </w:r>
            <w:r w:rsidRPr="00D61E32">
              <w:rPr>
                <w:rFonts w:ascii="Century Gothic" w:eastAsia="Times New Roman" w:hAnsi="Century Gothic" w:cs="Arial"/>
              </w:rPr>
              <w:t>:</w:t>
            </w:r>
            <w:r w:rsidRPr="00D61E32">
              <w:rPr>
                <w:rStyle w:val="FootnoteReference"/>
                <w:rFonts w:ascii="Century Gothic" w:eastAsia="Times New Roman" w:hAnsi="Century Gothic" w:cs="Arial"/>
              </w:rPr>
              <w:footnoteReference w:id="43"/>
            </w:r>
          </w:p>
          <w:p w14:paraId="39C61F9E" w14:textId="3F0C9066" w:rsidR="0053103B" w:rsidRPr="00D61E32" w:rsidRDefault="0053103B">
            <w:pPr>
              <w:rPr>
                <w:rFonts w:ascii="Century Gothic" w:eastAsia="Times New Roman" w:hAnsi="Century Gothic" w:cs="Arial"/>
              </w:rPr>
            </w:pPr>
            <w:r w:rsidRPr="00D61E32">
              <w:rPr>
                <w:rFonts w:ascii="Century Gothic" w:eastAsia="Times New Roman" w:hAnsi="Century Gothic" w:cs="Arial"/>
              </w:rPr>
              <w:t xml:space="preserve">The evaluation of Experimental, Investigational and Unproven (“EIU”) services are applicable to all MH/SUD services, regardless of benefit classification. </w:t>
            </w:r>
          </w:p>
        </w:tc>
      </w:tr>
      <w:tr w:rsidR="0053103B" w:rsidRPr="00D61E32" w14:paraId="48D1FCE7" w14:textId="77777777" w:rsidTr="007B4D04">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F4E77" w14:textId="77777777" w:rsidR="0053103B" w:rsidRPr="00D61E32" w:rsidRDefault="0053103B">
            <w:pPr>
              <w:rPr>
                <w:rFonts w:ascii="Century Gothic" w:eastAsia="Times New Roman" w:hAnsi="Century Gothic" w:cs="Arial"/>
                <w:b/>
                <w:bCs/>
              </w:rPr>
            </w:pPr>
            <w:r w:rsidRPr="00D61E32">
              <w:rPr>
                <w:rFonts w:ascii="Century Gothic" w:eastAsia="Times New Roman" w:hAnsi="Century Gothic" w:cs="Arial"/>
                <w:b/>
                <w:bCs/>
              </w:rPr>
              <w:t>Step 2 – Identify the factors used to determine that Experimental and Investigational Determinations will apply to mental health or substance use disorder benefits and medical or surgical benefits</w:t>
            </w:r>
            <w:r w:rsidRPr="00D61E32">
              <w:rPr>
                <w:rStyle w:val="FootnoteReference"/>
                <w:rFonts w:ascii="Century Gothic" w:eastAsia="Times New Roman" w:hAnsi="Century Gothic" w:cs="Arial"/>
                <w:b/>
                <w:bCs/>
              </w:rPr>
              <w:footnoteReference w:id="44"/>
            </w:r>
          </w:p>
        </w:tc>
      </w:tr>
      <w:tr w:rsidR="0053103B" w:rsidRPr="00D61E32" w14:paraId="790972EB" w14:textId="77777777" w:rsidTr="007B4D04">
        <w:trPr>
          <w:trHeight w:val="1979"/>
        </w:trPr>
        <w:tc>
          <w:tcPr>
            <w:tcW w:w="2500" w:type="pct"/>
            <w:tcBorders>
              <w:top w:val="single" w:sz="4" w:space="0" w:color="auto"/>
              <w:left w:val="single" w:sz="4" w:space="0" w:color="auto"/>
              <w:bottom w:val="single" w:sz="4" w:space="0" w:color="auto"/>
              <w:right w:val="single" w:sz="4" w:space="0" w:color="auto"/>
            </w:tcBorders>
          </w:tcPr>
          <w:p w14:paraId="40A4F81C" w14:textId="600C6867" w:rsidR="0053103B" w:rsidRPr="00D61E32" w:rsidRDefault="0053103B">
            <w:pPr>
              <w:rPr>
                <w:rFonts w:ascii="Century Gothic" w:eastAsia="Times New Roman" w:hAnsi="Century Gothic" w:cs="Arial"/>
              </w:rPr>
            </w:pPr>
            <w:r w:rsidRPr="00D61E32">
              <w:rPr>
                <w:rFonts w:ascii="Century Gothic" w:eastAsia="Times New Roman" w:hAnsi="Century Gothic" w:cs="Arial"/>
                <w:b/>
              </w:rPr>
              <w:t>Medical/Surgical</w:t>
            </w:r>
            <w:r w:rsidRPr="00D61E32">
              <w:rPr>
                <w:rFonts w:ascii="Century Gothic" w:eastAsia="Times New Roman" w:hAnsi="Century Gothic" w:cs="Arial"/>
              </w:rPr>
              <w:t>:</w:t>
            </w:r>
          </w:p>
          <w:p w14:paraId="13CF2D01"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rPr>
              <w:t xml:space="preserve">Cigna considers the following factors in determining whether a </w:t>
            </w:r>
            <w:proofErr w:type="gramStart"/>
            <w:r w:rsidRPr="00D61E32">
              <w:rPr>
                <w:rFonts w:ascii="Century Gothic" w:eastAsia="Times New Roman" w:hAnsi="Century Gothic" w:cs="Arial"/>
              </w:rPr>
              <w:t>services</w:t>
            </w:r>
            <w:proofErr w:type="gramEnd"/>
            <w:r w:rsidRPr="00D61E32">
              <w:rPr>
                <w:rFonts w:ascii="Century Gothic" w:eastAsia="Times New Roman" w:hAnsi="Century Gothic" w:cs="Arial"/>
              </w:rPr>
              <w:t xml:space="preserve"> is experimental, investigational or unproven:  </w:t>
            </w:r>
          </w:p>
          <w:p w14:paraId="0DFE493F" w14:textId="77777777" w:rsidR="0053103B" w:rsidRPr="00D61E32" w:rsidRDefault="0053103B" w:rsidP="0053103B">
            <w:pPr>
              <w:numPr>
                <w:ilvl w:val="0"/>
                <w:numId w:val="27"/>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inadequate volume of existing peer-reviewed, evidence-based, scientific literature to establish whether or not a technology, supplies, treatments, procedures, or devices is safe and effective for treating or diagnosing the condition or sickness for which its use is </w:t>
            </w:r>
            <w:proofErr w:type="gramStart"/>
            <w:r w:rsidRPr="00D61E32">
              <w:rPr>
                <w:rFonts w:ascii="Century Gothic" w:eastAsia="Times New Roman" w:hAnsi="Century Gothic" w:cs="Arial"/>
              </w:rPr>
              <w:t>proposed;</w:t>
            </w:r>
            <w:proofErr w:type="gramEnd"/>
            <w:r w:rsidRPr="00D61E32">
              <w:rPr>
                <w:rFonts w:ascii="Century Gothic" w:eastAsia="Times New Roman" w:hAnsi="Century Gothic" w:cs="Arial"/>
              </w:rPr>
              <w:t xml:space="preserve"> </w:t>
            </w:r>
          </w:p>
          <w:p w14:paraId="6F4CAD1B" w14:textId="77777777" w:rsidR="0053103B" w:rsidRPr="00D61E32" w:rsidRDefault="0053103B" w:rsidP="0053103B">
            <w:pPr>
              <w:numPr>
                <w:ilvl w:val="0"/>
                <w:numId w:val="27"/>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when subject to U.S. Food and Drug Administration (FDA) or other appropriate regulatory agency review, not approved to be lawfully marketed for the proposed </w:t>
            </w:r>
            <w:proofErr w:type="gramStart"/>
            <w:r w:rsidRPr="00D61E32">
              <w:rPr>
                <w:rFonts w:ascii="Century Gothic" w:eastAsia="Times New Roman" w:hAnsi="Century Gothic" w:cs="Arial"/>
              </w:rPr>
              <w:t>use;</w:t>
            </w:r>
            <w:proofErr w:type="gramEnd"/>
            <w:r w:rsidRPr="00D61E32">
              <w:rPr>
                <w:rFonts w:ascii="Century Gothic" w:eastAsia="Times New Roman" w:hAnsi="Century Gothic" w:cs="Arial"/>
              </w:rPr>
              <w:t xml:space="preserve"> </w:t>
            </w:r>
          </w:p>
          <w:p w14:paraId="6B99DFFD" w14:textId="77777777" w:rsidR="0053103B" w:rsidRPr="00D61E32" w:rsidRDefault="0053103B" w:rsidP="0053103B">
            <w:pPr>
              <w:numPr>
                <w:ilvl w:val="0"/>
                <w:numId w:val="27"/>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the subject of review or approval by an Institutional Review Board for the proposed use except as provided in the in a clinical </w:t>
            </w:r>
            <w:proofErr w:type="gramStart"/>
            <w:r w:rsidRPr="00D61E32">
              <w:rPr>
                <w:rFonts w:ascii="Century Gothic" w:eastAsia="Times New Roman" w:hAnsi="Century Gothic" w:cs="Arial"/>
              </w:rPr>
              <w:t>trial</w:t>
            </w:r>
            <w:proofErr w:type="gramEnd"/>
            <w:r w:rsidRPr="00D61E32">
              <w:rPr>
                <w:rFonts w:ascii="Century Gothic" w:eastAsia="Times New Roman" w:hAnsi="Century Gothic" w:cs="Arial"/>
              </w:rPr>
              <w:t xml:space="preserve"> </w:t>
            </w:r>
          </w:p>
          <w:p w14:paraId="7F8BDCA0" w14:textId="309F92C0" w:rsidR="0053103B" w:rsidRPr="00AA24AC" w:rsidRDefault="0053103B" w:rsidP="00AA24AC">
            <w:pPr>
              <w:numPr>
                <w:ilvl w:val="0"/>
                <w:numId w:val="27"/>
              </w:numPr>
              <w:spacing w:after="0" w:line="240" w:lineRule="auto"/>
              <w:rPr>
                <w:rFonts w:ascii="Century Gothic" w:eastAsia="Times New Roman" w:hAnsi="Century Gothic" w:cs="Arial"/>
              </w:rPr>
            </w:pPr>
            <w:r w:rsidRPr="00D61E32">
              <w:rPr>
                <w:rFonts w:ascii="Century Gothic" w:eastAsia="Times New Roman" w:hAnsi="Century Gothic" w:cs="Arial"/>
              </w:rPr>
              <w:t>the subject of an ongoing phase I, II or III clinical trial, except for routine patient care costs related to qualified clinical trials as provided in the clinical trials section below.</w:t>
            </w:r>
          </w:p>
        </w:tc>
        <w:tc>
          <w:tcPr>
            <w:tcW w:w="2500" w:type="pct"/>
            <w:tcBorders>
              <w:top w:val="single" w:sz="4" w:space="0" w:color="auto"/>
              <w:left w:val="single" w:sz="4" w:space="0" w:color="auto"/>
              <w:bottom w:val="single" w:sz="4" w:space="0" w:color="auto"/>
              <w:right w:val="single" w:sz="4" w:space="0" w:color="auto"/>
            </w:tcBorders>
          </w:tcPr>
          <w:p w14:paraId="002A8778" w14:textId="570E1EF8" w:rsidR="0053103B" w:rsidRPr="00D61E32" w:rsidRDefault="0053103B">
            <w:pPr>
              <w:rPr>
                <w:rFonts w:ascii="Century Gothic" w:eastAsia="Times New Roman" w:hAnsi="Century Gothic" w:cs="Arial"/>
              </w:rPr>
            </w:pPr>
            <w:r w:rsidRPr="00D61E32">
              <w:rPr>
                <w:rFonts w:ascii="Century Gothic" w:eastAsia="Times New Roman" w:hAnsi="Century Gothic" w:cs="Arial"/>
                <w:b/>
              </w:rPr>
              <w:t>MH/SUD</w:t>
            </w:r>
            <w:r w:rsidRPr="00D61E32">
              <w:rPr>
                <w:rFonts w:ascii="Century Gothic" w:eastAsia="Times New Roman" w:hAnsi="Century Gothic" w:cs="Arial"/>
              </w:rPr>
              <w:t>:</w:t>
            </w:r>
          </w:p>
          <w:p w14:paraId="7A9BB9FE" w14:textId="77777777" w:rsidR="0053103B" w:rsidRPr="00D61E32" w:rsidRDefault="0053103B">
            <w:pPr>
              <w:rPr>
                <w:rFonts w:ascii="Century Gothic" w:eastAsia="Times New Roman" w:hAnsi="Century Gothic" w:cs="Arial"/>
                <w:lang w:val="x-none"/>
              </w:rPr>
            </w:pPr>
            <w:r w:rsidRPr="00D61E32">
              <w:rPr>
                <w:rFonts w:ascii="Century Gothic" w:eastAsia="Times New Roman" w:hAnsi="Century Gothic" w:cs="Arial"/>
              </w:rPr>
              <w:t>Same as M/S</w:t>
            </w:r>
          </w:p>
          <w:p w14:paraId="433B3658" w14:textId="77777777" w:rsidR="0053103B" w:rsidRPr="00D61E32" w:rsidRDefault="0053103B">
            <w:pPr>
              <w:rPr>
                <w:rFonts w:ascii="Century Gothic" w:eastAsia="Times New Roman" w:hAnsi="Century Gothic" w:cs="Arial"/>
              </w:rPr>
            </w:pPr>
          </w:p>
          <w:p w14:paraId="51A09394" w14:textId="77777777" w:rsidR="0053103B" w:rsidRPr="00D61E32" w:rsidRDefault="0053103B">
            <w:pPr>
              <w:rPr>
                <w:rFonts w:ascii="Century Gothic" w:eastAsia="Times New Roman" w:hAnsi="Century Gothic" w:cs="Arial"/>
              </w:rPr>
            </w:pPr>
          </w:p>
          <w:p w14:paraId="184A64CB" w14:textId="77777777" w:rsidR="0053103B" w:rsidRPr="00D61E32" w:rsidRDefault="0053103B">
            <w:pPr>
              <w:rPr>
                <w:rFonts w:ascii="Century Gothic" w:eastAsia="Times New Roman" w:hAnsi="Century Gothic" w:cs="Arial"/>
              </w:rPr>
            </w:pPr>
          </w:p>
        </w:tc>
      </w:tr>
      <w:tr w:rsidR="0053103B" w:rsidRPr="00D61E32" w14:paraId="5C13A568" w14:textId="77777777" w:rsidTr="007B4D04">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8AA3E5" w14:textId="77777777" w:rsidR="0053103B" w:rsidRPr="00D61E32" w:rsidRDefault="0053103B">
            <w:pPr>
              <w:rPr>
                <w:rFonts w:ascii="Century Gothic" w:eastAsia="Times New Roman" w:hAnsi="Century Gothic" w:cs="Arial"/>
                <w:b/>
                <w:bCs/>
              </w:rPr>
            </w:pPr>
            <w:r w:rsidRPr="00D61E32">
              <w:rPr>
                <w:rFonts w:ascii="Century Gothic" w:eastAsia="Times New Roman" w:hAnsi="Century Gothic" w:cs="Arial"/>
                <w:b/>
                <w:bCs/>
              </w:rPr>
              <w:t xml:space="preserve">Step 3 – Identify the evidentiary standards used for the factors identified in Step 2, when applicable, provided that every factor shall be defined, and any other source or evidence relied upon to design and apply </w:t>
            </w:r>
            <w:r w:rsidRPr="00D61E32">
              <w:rPr>
                <w:rFonts w:ascii="Century Gothic" w:eastAsia="Times New Roman" w:hAnsi="Century Gothic" w:cs="Arial"/>
                <w:b/>
                <w:bCs/>
                <w:iCs/>
              </w:rPr>
              <w:t>Experimental and Investigational Determinations</w:t>
            </w:r>
            <w:r w:rsidRPr="00D61E32">
              <w:rPr>
                <w:rFonts w:ascii="Century Gothic" w:eastAsia="Times New Roman" w:hAnsi="Century Gothic" w:cs="Arial"/>
                <w:b/>
                <w:i/>
              </w:rPr>
              <w:t xml:space="preserve"> </w:t>
            </w:r>
            <w:r w:rsidRPr="00D61E32">
              <w:rPr>
                <w:rFonts w:ascii="Century Gothic" w:eastAsia="Times New Roman" w:hAnsi="Century Gothic" w:cs="Arial"/>
                <w:b/>
                <w:bCs/>
              </w:rPr>
              <w:t>to mental health or substance use disorder benefits and medical or surgical benefits.</w:t>
            </w:r>
          </w:p>
          <w:p w14:paraId="33BE7237" w14:textId="77777777" w:rsidR="0053103B" w:rsidRPr="00D61E32" w:rsidRDefault="0053103B" w:rsidP="0053103B">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Analyses should explain whether any factors were given more weight than others and the reason(s) for doing so, including an evaluation of any specific data used in the determination.</w:t>
            </w:r>
          </w:p>
          <w:p w14:paraId="2C3082B8" w14:textId="77777777" w:rsidR="0053103B" w:rsidRPr="00D61E32" w:rsidRDefault="0053103B" w:rsidP="0053103B">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To the extent the plan or issuer defines any of the factors, evidentiary standards, strategies, or processes in a quantitative manner, it must include the precise definitions used and any supporting sources.</w:t>
            </w:r>
            <w:r w:rsidRPr="00D61E32">
              <w:rPr>
                <w:rStyle w:val="FootnoteReference"/>
                <w:rFonts w:ascii="Century Gothic" w:eastAsia="Times New Roman" w:hAnsi="Century Gothic" w:cs="Arial"/>
                <w:bCs/>
                <w:i/>
              </w:rPr>
              <w:footnoteReference w:id="45"/>
            </w:r>
          </w:p>
        </w:tc>
      </w:tr>
      <w:tr w:rsidR="0053103B" w:rsidRPr="00D61E32" w14:paraId="314DFD11" w14:textId="77777777" w:rsidTr="007B4D04">
        <w:trPr>
          <w:trHeight w:val="1720"/>
        </w:trPr>
        <w:tc>
          <w:tcPr>
            <w:tcW w:w="2500" w:type="pct"/>
            <w:tcBorders>
              <w:top w:val="single" w:sz="4" w:space="0" w:color="auto"/>
              <w:left w:val="single" w:sz="4" w:space="0" w:color="auto"/>
              <w:bottom w:val="single" w:sz="4" w:space="0" w:color="auto"/>
              <w:right w:val="single" w:sz="4" w:space="0" w:color="auto"/>
            </w:tcBorders>
          </w:tcPr>
          <w:p w14:paraId="78BD7B71"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b/>
              </w:rPr>
              <w:t>Medical/Surgical</w:t>
            </w:r>
            <w:r w:rsidRPr="00D61E32">
              <w:rPr>
                <w:rFonts w:ascii="Century Gothic" w:eastAsia="Times New Roman" w:hAnsi="Century Gothic" w:cs="Arial"/>
              </w:rPr>
              <w:t>:</w:t>
            </w:r>
          </w:p>
          <w:p w14:paraId="18359723" w14:textId="77777777" w:rsidR="0053103B" w:rsidRPr="00D61E32" w:rsidRDefault="0053103B">
            <w:pPr>
              <w:rPr>
                <w:rFonts w:ascii="Century Gothic" w:eastAsia="Times New Roman" w:hAnsi="Century Gothic" w:cs="Arial"/>
                <w:b/>
                <w:bCs/>
                <w:i/>
                <w:iCs/>
              </w:rPr>
            </w:pPr>
            <w:r w:rsidRPr="00D61E32">
              <w:rPr>
                <w:rFonts w:ascii="Century Gothic" w:eastAsia="Times New Roman" w:hAnsi="Century Gothic" w:cs="Arial"/>
                <w:b/>
                <w:bCs/>
                <w:i/>
                <w:iCs/>
              </w:rPr>
              <w:t xml:space="preserve">Sources </w:t>
            </w:r>
          </w:p>
          <w:p w14:paraId="5AF3E192"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rPr>
              <w:t xml:space="preserve">In approving new technology, MTAC uses principles of evidence-based medicine in its evaluation of  the following sources: </w:t>
            </w:r>
          </w:p>
          <w:p w14:paraId="59217F4B" w14:textId="77777777" w:rsidR="0053103B" w:rsidRPr="00D61E32" w:rsidRDefault="0053103B" w:rsidP="0053103B">
            <w:pPr>
              <w:numPr>
                <w:ilvl w:val="0"/>
                <w:numId w:val="28"/>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clinical literature </w:t>
            </w:r>
          </w:p>
          <w:p w14:paraId="751D579B" w14:textId="77777777" w:rsidR="0053103B" w:rsidRPr="00D61E32" w:rsidRDefault="0053103B" w:rsidP="0053103B">
            <w:pPr>
              <w:numPr>
                <w:ilvl w:val="0"/>
                <w:numId w:val="28"/>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FDA approval or clearance, as appropriate, is necessary, but not sufficient, for Cigna to consider a technology to be proven. </w:t>
            </w:r>
          </w:p>
          <w:p w14:paraId="01B6BCB7" w14:textId="77777777" w:rsidR="0053103B" w:rsidRPr="00D61E32" w:rsidRDefault="0053103B" w:rsidP="0053103B">
            <w:pPr>
              <w:numPr>
                <w:ilvl w:val="0"/>
                <w:numId w:val="28"/>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FDA approval or clearance </w:t>
            </w:r>
          </w:p>
          <w:p w14:paraId="70B5FDEB" w14:textId="789FA132" w:rsidR="0053103B" w:rsidRPr="00D61E32" w:rsidRDefault="0053103B" w:rsidP="00FA5BF8">
            <w:pPr>
              <w:numPr>
                <w:ilvl w:val="0"/>
                <w:numId w:val="28"/>
              </w:numPr>
              <w:spacing w:after="0" w:line="240" w:lineRule="auto"/>
              <w:rPr>
                <w:rFonts w:ascii="Century Gothic" w:eastAsia="Times New Roman" w:hAnsi="Century Gothic" w:cs="Arial"/>
              </w:rPr>
            </w:pPr>
            <w:r w:rsidRPr="00D61E32">
              <w:rPr>
                <w:rFonts w:ascii="Century Gothic" w:eastAsia="Times New Roman" w:hAnsi="Century Gothic" w:cs="Arial"/>
              </w:rPr>
              <w:t xml:space="preserve">English language peer reviewed publications including documents prepared by specialty societies and evidence-based review centers, such as the Agency for Health Care Research and Quality. </w:t>
            </w:r>
          </w:p>
          <w:p w14:paraId="10DB230D" w14:textId="77777777" w:rsidR="0053103B" w:rsidRPr="00D61E32" w:rsidRDefault="0053103B">
            <w:pPr>
              <w:rPr>
                <w:rFonts w:ascii="Century Gothic" w:eastAsia="Times New Roman" w:hAnsi="Century Gothic" w:cs="Arial"/>
                <w:b/>
                <w:bCs/>
                <w:i/>
                <w:iCs/>
              </w:rPr>
            </w:pPr>
            <w:r w:rsidRPr="00D61E32">
              <w:rPr>
                <w:rFonts w:ascii="Century Gothic" w:eastAsia="Times New Roman" w:hAnsi="Century Gothic" w:cs="Arial"/>
                <w:b/>
                <w:bCs/>
                <w:i/>
                <w:iCs/>
              </w:rPr>
              <w:t xml:space="preserve">Evidentiary Standard. </w:t>
            </w:r>
          </w:p>
          <w:p w14:paraId="41DC54CF"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rPr>
              <w:t xml:space="preserve">Levels of evidence are assigned to the publications based upon underlying study characteristics, including but not limited to incidence and prevalence of disease, study design, number of subjects, clinical outcomes of relevance, statistics used and significance, and assessment of flaws and bias. A research team performs a synthetic assessment of the literature to determine if there is a sufficiently evidence based proven relationship between the intervention and improved health outcomes. </w:t>
            </w:r>
          </w:p>
          <w:p w14:paraId="0BF0CEE4" w14:textId="0137FEF5" w:rsidR="0053103B" w:rsidRPr="00D61E32" w:rsidRDefault="0053103B">
            <w:pPr>
              <w:rPr>
                <w:rFonts w:ascii="Century Gothic" w:eastAsia="Times New Roman" w:hAnsi="Century Gothic" w:cs="Arial"/>
              </w:rPr>
            </w:pPr>
            <w:r w:rsidRPr="00D61E32">
              <w:rPr>
                <w:rFonts w:ascii="Century Gothic" w:eastAsia="Times New Roman" w:hAnsi="Century Gothic" w:cs="Arial"/>
              </w:rPr>
              <w:t xml:space="preserve">Cigna considers other sources of internal and external information as part of its decision-making process including input from health care professionals and other interested parties. Health care professionals may share their comments with the regional market medical executive representing a specific geography, </w:t>
            </w:r>
            <w:proofErr w:type="gramStart"/>
            <w:r w:rsidRPr="00D61E32">
              <w:rPr>
                <w:rFonts w:ascii="Century Gothic" w:eastAsia="Times New Roman" w:hAnsi="Century Gothic" w:cs="Arial"/>
              </w:rPr>
              <w:t>account</w:t>
            </w:r>
            <w:proofErr w:type="gramEnd"/>
            <w:r w:rsidRPr="00D61E32">
              <w:rPr>
                <w:rFonts w:ascii="Century Gothic" w:eastAsia="Times New Roman" w:hAnsi="Century Gothic" w:cs="Arial"/>
              </w:rPr>
              <w:t xml:space="preserve"> or subject matter issue. The information is reviewed as part of the annual update process. </w:t>
            </w:r>
          </w:p>
        </w:tc>
        <w:tc>
          <w:tcPr>
            <w:tcW w:w="2500" w:type="pct"/>
            <w:tcBorders>
              <w:top w:val="single" w:sz="4" w:space="0" w:color="auto"/>
              <w:left w:val="single" w:sz="4" w:space="0" w:color="auto"/>
              <w:bottom w:val="single" w:sz="4" w:space="0" w:color="auto"/>
              <w:right w:val="single" w:sz="4" w:space="0" w:color="auto"/>
            </w:tcBorders>
          </w:tcPr>
          <w:p w14:paraId="49BC6BB3" w14:textId="74CD93EF" w:rsidR="0053103B" w:rsidRPr="00D61E32" w:rsidRDefault="0053103B">
            <w:pPr>
              <w:rPr>
                <w:rFonts w:ascii="Century Gothic" w:eastAsia="Times New Roman" w:hAnsi="Century Gothic" w:cs="Arial"/>
              </w:rPr>
            </w:pPr>
            <w:r w:rsidRPr="00D61E32">
              <w:rPr>
                <w:rFonts w:ascii="Century Gothic" w:eastAsia="Times New Roman" w:hAnsi="Century Gothic" w:cs="Arial"/>
                <w:b/>
              </w:rPr>
              <w:t>MH/SUD</w:t>
            </w:r>
            <w:r w:rsidRPr="00D61E32">
              <w:rPr>
                <w:rFonts w:ascii="Century Gothic" w:eastAsia="Times New Roman" w:hAnsi="Century Gothic" w:cs="Arial"/>
              </w:rPr>
              <w:t>:</w:t>
            </w:r>
          </w:p>
          <w:p w14:paraId="5C7C80ED"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rPr>
              <w:t>Same as M/S</w:t>
            </w:r>
          </w:p>
          <w:p w14:paraId="2F6AE834" w14:textId="77777777" w:rsidR="0053103B" w:rsidRPr="00D61E32" w:rsidRDefault="0053103B">
            <w:pPr>
              <w:pStyle w:val="ListParagraph"/>
              <w:ind w:left="1440"/>
              <w:rPr>
                <w:rFonts w:ascii="Century Gothic" w:eastAsia="Times New Roman" w:hAnsi="Century Gothic" w:cs="Arial"/>
              </w:rPr>
            </w:pPr>
          </w:p>
          <w:p w14:paraId="335AE025" w14:textId="77777777" w:rsidR="0053103B" w:rsidRPr="00D61E32" w:rsidRDefault="0053103B">
            <w:pPr>
              <w:rPr>
                <w:rFonts w:ascii="Century Gothic" w:eastAsia="Times New Roman" w:hAnsi="Century Gothic" w:cs="Arial"/>
              </w:rPr>
            </w:pPr>
          </w:p>
          <w:p w14:paraId="4055A955"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rPr>
              <w:t xml:space="preserve"> </w:t>
            </w:r>
          </w:p>
        </w:tc>
      </w:tr>
      <w:tr w:rsidR="0053103B" w:rsidRPr="00D61E32" w14:paraId="2DA9D2AA" w14:textId="77777777" w:rsidTr="007B4D04">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25131" w14:textId="77777777" w:rsidR="0053103B" w:rsidRPr="00D61E32" w:rsidRDefault="0053103B">
            <w:pPr>
              <w:rPr>
                <w:rFonts w:ascii="Century Gothic" w:eastAsia="Times New Roman" w:hAnsi="Century Gothic" w:cs="Arial"/>
                <w:bCs/>
              </w:rPr>
            </w:pPr>
            <w:r w:rsidRPr="00D61E32">
              <w:rPr>
                <w:rFonts w:ascii="Century Gothic" w:eastAsia="Times New Roman" w:hAnsi="Century Gothic"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46217A60" w14:textId="77777777" w:rsidR="0053103B" w:rsidRPr="00D61E32" w:rsidRDefault="0053103B" w:rsidP="0053103B">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The analyses, as documented, should explain whether there is any variation in the application of a guideline or standard used by the plan or issuer between MH/SUD and medical/surgical benefits and, if so, describe the process and factors used for establishing that variation.</w:t>
            </w:r>
          </w:p>
          <w:p w14:paraId="0D6089D9" w14:textId="77777777" w:rsidR="0053103B" w:rsidRPr="00D61E32" w:rsidRDefault="0053103B" w:rsidP="0053103B">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If the application of the NQTL turns on specific decisions in administration of the benefits, the plan or issuer should identify the nature of the decisions, the decision maker(s), the timing of the decisions, and the qualifications of the decision maker(s).</w:t>
            </w:r>
          </w:p>
          <w:p w14:paraId="4B94FC8F" w14:textId="77777777" w:rsidR="0053103B" w:rsidRPr="00D61E32" w:rsidRDefault="0053103B" w:rsidP="0053103B">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 xml:space="preserve">If the </w:t>
            </w:r>
            <w:proofErr w:type="gramStart"/>
            <w:r w:rsidRPr="00D61E32">
              <w:rPr>
                <w:rFonts w:ascii="Century Gothic" w:eastAsia="Times New Roman" w:hAnsi="Century Gothic" w:cs="Arial"/>
                <w:bCs/>
                <w:i/>
              </w:rPr>
              <w:t>plan’s</w:t>
            </w:r>
            <w:proofErr w:type="gramEnd"/>
            <w:r w:rsidRPr="00D61E32">
              <w:rPr>
                <w:rFonts w:ascii="Century Gothic" w:eastAsia="Times New Roman" w:hAnsi="Century Gothic" w:cs="Arial"/>
                <w:bCs/>
                <w:i/>
              </w:rPr>
              <w:t xml:space="preserve">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r w:rsidRPr="00D61E32">
              <w:rPr>
                <w:rStyle w:val="FootnoteReference"/>
                <w:rFonts w:ascii="Century Gothic" w:eastAsia="Times New Roman" w:hAnsi="Century Gothic" w:cs="Arial"/>
                <w:bCs/>
                <w:i/>
              </w:rPr>
              <w:footnoteReference w:id="46"/>
            </w:r>
          </w:p>
        </w:tc>
      </w:tr>
      <w:tr w:rsidR="0053103B" w:rsidRPr="00D61E32" w14:paraId="4C1549DE" w14:textId="77777777" w:rsidTr="007B4D04">
        <w:trPr>
          <w:trHeight w:val="1720"/>
        </w:trPr>
        <w:tc>
          <w:tcPr>
            <w:tcW w:w="2500" w:type="pct"/>
            <w:tcBorders>
              <w:top w:val="single" w:sz="4" w:space="0" w:color="auto"/>
              <w:left w:val="single" w:sz="4" w:space="0" w:color="auto"/>
              <w:bottom w:val="single" w:sz="4" w:space="0" w:color="auto"/>
              <w:right w:val="single" w:sz="4" w:space="0" w:color="auto"/>
            </w:tcBorders>
          </w:tcPr>
          <w:p w14:paraId="111DC41E" w14:textId="0DB11CE8" w:rsidR="0053103B" w:rsidRPr="00D61E32" w:rsidRDefault="0053103B">
            <w:pPr>
              <w:rPr>
                <w:rFonts w:ascii="Century Gothic" w:eastAsia="Times New Roman" w:hAnsi="Century Gothic" w:cs="Arial"/>
                <w:b/>
                <w:i/>
              </w:rPr>
            </w:pPr>
            <w:r w:rsidRPr="00D61E32">
              <w:rPr>
                <w:rFonts w:ascii="Century Gothic" w:eastAsia="Times New Roman" w:hAnsi="Century Gothic" w:cs="Arial"/>
                <w:b/>
                <w:i/>
              </w:rPr>
              <w:t xml:space="preserve">Step 4(a): Briefly describe the processes by which Treatments are determined to be E/I for M/S </w:t>
            </w:r>
            <w:proofErr w:type="gramStart"/>
            <w:r w:rsidRPr="00D61E32">
              <w:rPr>
                <w:rFonts w:ascii="Century Gothic" w:eastAsia="Times New Roman" w:hAnsi="Century Gothic" w:cs="Arial"/>
                <w:b/>
                <w:i/>
              </w:rPr>
              <w:t>benefits</w:t>
            </w:r>
            <w:proofErr w:type="gramEnd"/>
            <w:r w:rsidRPr="00D61E32">
              <w:rPr>
                <w:rFonts w:ascii="Century Gothic" w:eastAsia="Times New Roman" w:hAnsi="Century Gothic" w:cs="Arial"/>
                <w:b/>
                <w:i/>
              </w:rPr>
              <w:t xml:space="preserve"> </w:t>
            </w:r>
          </w:p>
          <w:p w14:paraId="3DF97B81" w14:textId="77777777" w:rsidR="0053103B" w:rsidRPr="00D61E32" w:rsidRDefault="0053103B">
            <w:pPr>
              <w:rPr>
                <w:rFonts w:ascii="Century Gothic" w:eastAsia="Times New Roman" w:hAnsi="Century Gothic" w:cs="Arial"/>
                <w:b/>
                <w:iCs/>
              </w:rPr>
            </w:pPr>
            <w:r w:rsidRPr="00D61E32">
              <w:rPr>
                <w:rFonts w:ascii="Century Gothic" w:eastAsia="Times New Roman" w:hAnsi="Century Gothic" w:cs="Arial"/>
                <w:b/>
                <w:iCs/>
              </w:rPr>
              <w:t xml:space="preserve">Delegation to Cigna </w:t>
            </w:r>
          </w:p>
          <w:p w14:paraId="5A6B736A" w14:textId="09C5682E" w:rsidR="0053103B" w:rsidRPr="00D61E32" w:rsidRDefault="0053103B">
            <w:pPr>
              <w:rPr>
                <w:rFonts w:ascii="Century Gothic" w:eastAsia="Times New Roman" w:hAnsi="Century Gothic" w:cs="Arial"/>
              </w:rPr>
            </w:pPr>
            <w:r w:rsidRPr="00D61E32">
              <w:rPr>
                <w:rFonts w:ascii="Century Gothic" w:eastAsia="Times New Roman" w:hAnsi="Century Gothic" w:cs="Arial"/>
              </w:rPr>
              <w:t>Wellfleet delegates non-Pharmacy Utilization Management to Cigna. Cigna is responsible for determining which</w:t>
            </w:r>
            <w:r w:rsidRPr="00D61E32">
              <w:rPr>
                <w:rFonts w:ascii="Century Gothic" w:hAnsi="Century Gothic"/>
              </w:rPr>
              <w:t xml:space="preserve"> </w:t>
            </w:r>
            <w:r w:rsidRPr="00D61E32">
              <w:rPr>
                <w:rFonts w:ascii="Century Gothic" w:eastAsia="Times New Roman" w:hAnsi="Century Gothic" w:cs="Arial"/>
              </w:rPr>
              <w:t xml:space="preserve">non-Pharmacy benefits are eligible for E/I review. As such, Cigna’s utilization management policies are used to determine E/I </w:t>
            </w:r>
            <w:proofErr w:type="gramStart"/>
            <w:r w:rsidRPr="00D61E32">
              <w:rPr>
                <w:rFonts w:ascii="Century Gothic" w:eastAsia="Times New Roman" w:hAnsi="Century Gothic" w:cs="Arial"/>
              </w:rPr>
              <w:t>factors</w:t>
            </w:r>
            <w:proofErr w:type="gramEnd"/>
            <w:r w:rsidRPr="00D61E32">
              <w:rPr>
                <w:rFonts w:ascii="Century Gothic" w:eastAsia="Times New Roman" w:hAnsi="Century Gothic" w:cs="Arial"/>
              </w:rPr>
              <w:t>, sources and evidentiary standards. Their policies are used to determine operational aspects of E/I.</w:t>
            </w:r>
          </w:p>
          <w:p w14:paraId="673794A7" w14:textId="77777777" w:rsidR="0053103B" w:rsidRPr="00D61E32" w:rsidRDefault="0053103B">
            <w:pPr>
              <w:rPr>
                <w:rFonts w:ascii="Century Gothic" w:eastAsia="Times New Roman" w:hAnsi="Century Gothic" w:cs="Arial"/>
                <w:lang w:val="x-none"/>
              </w:rPr>
            </w:pPr>
            <w:r w:rsidRPr="00D61E32">
              <w:rPr>
                <w:rFonts w:ascii="Century Gothic" w:eastAsia="Times New Roman" w:hAnsi="Century Gothic" w:cs="Arial"/>
                <w:lang w:val="x-none"/>
              </w:rPr>
              <w:t>Cigna collects, tracks and trends relevant metrics on a semi-annual basis for services within each classification of medical/surgical and MH/SUD benefits. Metrics may include initial EIU coverage denials, coverage denials upheld and overturned upon internal appeal and coverage denials upheld and overturned upon external appeal/review.</w:t>
            </w:r>
          </w:p>
          <w:p w14:paraId="1A53EF80" w14:textId="77777777" w:rsidR="0053103B" w:rsidRPr="00D61E32" w:rsidRDefault="0053103B">
            <w:pPr>
              <w:rPr>
                <w:rFonts w:ascii="Century Gothic" w:eastAsia="Times New Roman" w:hAnsi="Century Gothic" w:cs="Arial"/>
                <w:b/>
                <w:iCs/>
              </w:rPr>
            </w:pPr>
            <w:r w:rsidRPr="00D61E32">
              <w:rPr>
                <w:rFonts w:ascii="Century Gothic" w:eastAsia="Times New Roman" w:hAnsi="Century Gothic" w:cs="Arial"/>
                <w:b/>
                <w:iCs/>
              </w:rPr>
              <w:t>Relevant Committee for Determining E/I – Committee Composition and Processes</w:t>
            </w:r>
          </w:p>
          <w:p w14:paraId="2117B32E" w14:textId="77777777" w:rsidR="0053103B" w:rsidRPr="00D61E32" w:rsidRDefault="0053103B">
            <w:pPr>
              <w:rPr>
                <w:rFonts w:ascii="Century Gothic" w:eastAsia="Times New Roman" w:hAnsi="Century Gothic" w:cs="Arial"/>
                <w:bCs/>
                <w:iCs/>
              </w:rPr>
            </w:pPr>
            <w:r w:rsidRPr="00D61E32">
              <w:rPr>
                <w:rFonts w:ascii="Century Gothic" w:eastAsia="Times New Roman" w:hAnsi="Century Gothic" w:cs="Arial"/>
                <w:bCs/>
                <w:iCs/>
              </w:rPr>
              <w:t xml:space="preserve">Cigna's Medical Technology Assessment Committee (MTAC) applies a consistent process in the development of evidence-based Coverage Policies for a wide variety of medical technologies. The MTAC committee is composed of physicians and </w:t>
            </w:r>
            <w:proofErr w:type="gramStart"/>
            <w:r w:rsidRPr="00D61E32">
              <w:rPr>
                <w:rFonts w:ascii="Century Gothic" w:eastAsia="Times New Roman" w:hAnsi="Century Gothic" w:cs="Arial"/>
                <w:bCs/>
                <w:iCs/>
              </w:rPr>
              <w:t>nurses, and</w:t>
            </w:r>
            <w:proofErr w:type="gramEnd"/>
            <w:r w:rsidRPr="00D61E32">
              <w:rPr>
                <w:rFonts w:ascii="Century Gothic" w:eastAsia="Times New Roman" w:hAnsi="Century Gothic" w:cs="Arial"/>
                <w:bCs/>
                <w:iCs/>
              </w:rPr>
              <w:t xml:space="preserve"> includes specialists from assorted medical and behavioral health disciplines. </w:t>
            </w:r>
          </w:p>
          <w:p w14:paraId="63FA49C9" w14:textId="77777777" w:rsidR="0053103B" w:rsidRPr="00D61E32" w:rsidRDefault="0053103B">
            <w:pPr>
              <w:rPr>
                <w:rFonts w:ascii="Century Gothic" w:eastAsia="Times New Roman" w:hAnsi="Century Gothic" w:cs="Arial"/>
                <w:bCs/>
                <w:iCs/>
              </w:rPr>
            </w:pPr>
            <w:r w:rsidRPr="00D61E32">
              <w:rPr>
                <w:rFonts w:ascii="Century Gothic" w:eastAsia="Times New Roman" w:hAnsi="Century Gothic" w:cs="Arial"/>
                <w:bCs/>
                <w:iCs/>
              </w:rPr>
              <w:t xml:space="preserve">MTAC is composed of physicians and </w:t>
            </w:r>
            <w:proofErr w:type="gramStart"/>
            <w:r w:rsidRPr="00D61E32">
              <w:rPr>
                <w:rFonts w:ascii="Century Gothic" w:eastAsia="Times New Roman" w:hAnsi="Century Gothic" w:cs="Arial"/>
                <w:bCs/>
                <w:iCs/>
              </w:rPr>
              <w:t>nurses, and</w:t>
            </w:r>
            <w:proofErr w:type="gramEnd"/>
            <w:r w:rsidRPr="00D61E32">
              <w:rPr>
                <w:rFonts w:ascii="Century Gothic" w:eastAsia="Times New Roman" w:hAnsi="Century Gothic" w:cs="Arial"/>
                <w:bCs/>
                <w:iCs/>
              </w:rPr>
              <w:t xml:space="preserve"> includes specialists from assorted medical and behavioral health disciplines. </w:t>
            </w:r>
          </w:p>
          <w:p w14:paraId="1B8BD2B3" w14:textId="1140ADB0" w:rsidR="0053103B" w:rsidRPr="00D61E32" w:rsidRDefault="0053103B">
            <w:pPr>
              <w:rPr>
                <w:rFonts w:ascii="Century Gothic" w:eastAsia="Times New Roman" w:hAnsi="Century Gothic" w:cs="Arial"/>
                <w:bCs/>
                <w:iCs/>
              </w:rPr>
            </w:pPr>
            <w:r w:rsidRPr="00D61E32">
              <w:rPr>
                <w:rFonts w:ascii="Century Gothic" w:eastAsia="Times New Roman" w:hAnsi="Century Gothic" w:cs="Arial"/>
                <w:bCs/>
                <w:iCs/>
              </w:rPr>
              <w:t xml:space="preserve">MTAC also consults with internal Cigna subject matter experts as part of the committee review process. Internal subject matter experts include, but may not be limited to, orthopedists, neurologists, neurosurgeons, OBGYNs, oncologists, primary care physicians, internists, surgeons, urologists, pulmonologists, cardiologists, and psychiatrists. </w:t>
            </w:r>
          </w:p>
          <w:p w14:paraId="5F42F5C2" w14:textId="4B07E995" w:rsidR="0053103B" w:rsidRPr="00D61E32" w:rsidRDefault="0053103B">
            <w:pPr>
              <w:rPr>
                <w:rFonts w:ascii="Century Gothic" w:eastAsia="Times New Roman" w:hAnsi="Century Gothic" w:cs="Arial"/>
                <w:bCs/>
                <w:iCs/>
              </w:rPr>
            </w:pPr>
            <w:r w:rsidRPr="00D61E32">
              <w:rPr>
                <w:rFonts w:ascii="Century Gothic" w:eastAsia="Times New Roman" w:hAnsi="Century Gothic" w:cs="Arial"/>
                <w:bCs/>
                <w:iCs/>
              </w:rPr>
              <w:t xml:space="preserve">The committee reviews (i) FDA approval/clearance status, (ii) English language peer reviewed publications; and  (iii) relevant documents prepared by specialty societies and evidence-based review centers and uses principles of evidence-based medicine in its evaluation of clinical literature and in its deliberative process and in preparing published medical coverage polices. The MTAC committee develops criteria to assist medical directors in determining whether a service/device is deemed to be medically necessary or experimental, </w:t>
            </w:r>
            <w:proofErr w:type="gramStart"/>
            <w:r w:rsidRPr="00D61E32">
              <w:rPr>
                <w:rFonts w:ascii="Century Gothic" w:eastAsia="Times New Roman" w:hAnsi="Century Gothic" w:cs="Arial"/>
                <w:bCs/>
                <w:iCs/>
              </w:rPr>
              <w:t>investigational</w:t>
            </w:r>
            <w:proofErr w:type="gramEnd"/>
            <w:r w:rsidRPr="00D61E32">
              <w:rPr>
                <w:rFonts w:ascii="Century Gothic" w:eastAsia="Times New Roman" w:hAnsi="Century Gothic" w:cs="Arial"/>
                <w:bCs/>
                <w:iCs/>
              </w:rPr>
              <w:t xml:space="preserve"> or unproven.  </w:t>
            </w:r>
          </w:p>
        </w:tc>
        <w:tc>
          <w:tcPr>
            <w:tcW w:w="2500" w:type="pct"/>
            <w:tcBorders>
              <w:top w:val="single" w:sz="4" w:space="0" w:color="auto"/>
              <w:left w:val="single" w:sz="4" w:space="0" w:color="auto"/>
              <w:bottom w:val="single" w:sz="4" w:space="0" w:color="auto"/>
              <w:right w:val="single" w:sz="4" w:space="0" w:color="auto"/>
            </w:tcBorders>
          </w:tcPr>
          <w:p w14:paraId="39C8F756" w14:textId="5EAEA51B" w:rsidR="0053103B" w:rsidRPr="00D61E32" w:rsidRDefault="0053103B">
            <w:pPr>
              <w:rPr>
                <w:rFonts w:ascii="Century Gothic" w:eastAsia="Times New Roman" w:hAnsi="Century Gothic" w:cs="Arial"/>
                <w:b/>
                <w:i/>
              </w:rPr>
            </w:pPr>
            <w:r w:rsidRPr="00D61E32">
              <w:rPr>
                <w:rFonts w:ascii="Century Gothic" w:eastAsia="Times New Roman" w:hAnsi="Century Gothic" w:cs="Arial"/>
                <w:b/>
                <w:i/>
              </w:rPr>
              <w:t xml:space="preserve">Step 4(a): Briefly describe the processes by which Treatments are determined to be E/I for MH/SUD </w:t>
            </w:r>
            <w:proofErr w:type="gramStart"/>
            <w:r w:rsidRPr="00D61E32">
              <w:rPr>
                <w:rFonts w:ascii="Century Gothic" w:eastAsia="Times New Roman" w:hAnsi="Century Gothic" w:cs="Arial"/>
                <w:b/>
                <w:i/>
              </w:rPr>
              <w:t>benefits</w:t>
            </w:r>
            <w:proofErr w:type="gramEnd"/>
            <w:r w:rsidRPr="00D61E32">
              <w:rPr>
                <w:rFonts w:ascii="Century Gothic" w:eastAsia="Times New Roman" w:hAnsi="Century Gothic" w:cs="Arial"/>
                <w:b/>
                <w:i/>
              </w:rPr>
              <w:t xml:space="preserve"> </w:t>
            </w:r>
          </w:p>
          <w:p w14:paraId="6DC57B3A" w14:textId="77777777" w:rsidR="0053103B" w:rsidRPr="00D61E32" w:rsidRDefault="0053103B">
            <w:pPr>
              <w:rPr>
                <w:rFonts w:ascii="Century Gothic" w:eastAsia="Times New Roman" w:hAnsi="Century Gothic" w:cs="Arial"/>
                <w:bCs/>
                <w:iCs/>
              </w:rPr>
            </w:pPr>
            <w:r w:rsidRPr="00D61E32">
              <w:rPr>
                <w:rFonts w:ascii="Century Gothic" w:eastAsia="Times New Roman" w:hAnsi="Century Gothic" w:cs="Arial"/>
                <w:bCs/>
                <w:iCs/>
              </w:rPr>
              <w:t>Same as M/S</w:t>
            </w:r>
          </w:p>
        </w:tc>
      </w:tr>
      <w:tr w:rsidR="0053103B" w:rsidRPr="00D61E32" w14:paraId="49D3BD02" w14:textId="77777777" w:rsidTr="007B4D04">
        <w:trPr>
          <w:trHeight w:val="1970"/>
        </w:trPr>
        <w:tc>
          <w:tcPr>
            <w:tcW w:w="2500" w:type="pct"/>
            <w:tcBorders>
              <w:top w:val="single" w:sz="4" w:space="0" w:color="auto"/>
              <w:left w:val="single" w:sz="4" w:space="0" w:color="auto"/>
              <w:bottom w:val="single" w:sz="4" w:space="0" w:color="auto"/>
              <w:right w:val="single" w:sz="4" w:space="0" w:color="auto"/>
            </w:tcBorders>
          </w:tcPr>
          <w:p w14:paraId="40AD2487" w14:textId="69C60D98" w:rsidR="0053103B" w:rsidRPr="00D61E32" w:rsidRDefault="0053103B">
            <w:pPr>
              <w:rPr>
                <w:rFonts w:ascii="Century Gothic" w:eastAsia="Times New Roman" w:hAnsi="Century Gothic" w:cs="Arial"/>
                <w:b/>
                <w:i/>
              </w:rPr>
            </w:pPr>
            <w:r w:rsidRPr="00D61E32">
              <w:rPr>
                <w:rFonts w:ascii="Century Gothic" w:eastAsia="Times New Roman" w:hAnsi="Century Gothic" w:cs="Arial"/>
                <w:b/>
                <w:i/>
              </w:rPr>
              <w:t xml:space="preserve">Step 4(b): Briefly describe the processes by which coverage determinations or exceptions are made for E/I Treatments for M/S </w:t>
            </w:r>
            <w:proofErr w:type="gramStart"/>
            <w:r w:rsidRPr="00D61E32">
              <w:rPr>
                <w:rFonts w:ascii="Century Gothic" w:eastAsia="Times New Roman" w:hAnsi="Century Gothic" w:cs="Arial"/>
                <w:b/>
                <w:i/>
              </w:rPr>
              <w:t>services</w:t>
            </w:r>
            <w:proofErr w:type="gramEnd"/>
            <w:r w:rsidRPr="00D61E32">
              <w:rPr>
                <w:rFonts w:ascii="Century Gothic" w:eastAsia="Times New Roman" w:hAnsi="Century Gothic" w:cs="Arial"/>
                <w:b/>
                <w:i/>
              </w:rPr>
              <w:t xml:space="preserve"> </w:t>
            </w:r>
          </w:p>
          <w:p w14:paraId="25FD58C9" w14:textId="548ACC3A" w:rsidR="0053103B" w:rsidRPr="00D61E32" w:rsidRDefault="0053103B">
            <w:pPr>
              <w:rPr>
                <w:rFonts w:ascii="Century Gothic" w:eastAsia="Times New Roman" w:hAnsi="Century Gothic" w:cs="Arial"/>
              </w:rPr>
            </w:pPr>
            <w:r w:rsidRPr="00D61E32">
              <w:rPr>
                <w:rFonts w:ascii="Century Gothic" w:eastAsia="Times New Roman" w:hAnsi="Century Gothic" w:cs="Arial"/>
              </w:rPr>
              <w:t>N/A – there are no exceptions to the E/I determination process</w:t>
            </w:r>
          </w:p>
        </w:tc>
        <w:tc>
          <w:tcPr>
            <w:tcW w:w="2500" w:type="pct"/>
            <w:tcBorders>
              <w:top w:val="single" w:sz="4" w:space="0" w:color="auto"/>
              <w:left w:val="single" w:sz="4" w:space="0" w:color="auto"/>
              <w:bottom w:val="single" w:sz="4" w:space="0" w:color="auto"/>
              <w:right w:val="single" w:sz="4" w:space="0" w:color="auto"/>
            </w:tcBorders>
          </w:tcPr>
          <w:p w14:paraId="5E17B523" w14:textId="53CF4813" w:rsidR="0053103B" w:rsidRPr="00D61E32" w:rsidRDefault="0053103B">
            <w:pPr>
              <w:rPr>
                <w:rFonts w:ascii="Century Gothic" w:eastAsia="Times New Roman" w:hAnsi="Century Gothic" w:cs="Arial"/>
                <w:b/>
                <w:i/>
              </w:rPr>
            </w:pPr>
            <w:r w:rsidRPr="00D61E32">
              <w:rPr>
                <w:rFonts w:ascii="Century Gothic" w:eastAsia="Times New Roman" w:hAnsi="Century Gothic" w:cs="Arial"/>
                <w:b/>
                <w:i/>
              </w:rPr>
              <w:t xml:space="preserve">Step 4(b): Briefly describe the processes by which coverage determinations or exceptions are made for E/I Treatments for MH/SUD </w:t>
            </w:r>
            <w:proofErr w:type="gramStart"/>
            <w:r w:rsidRPr="00D61E32">
              <w:rPr>
                <w:rFonts w:ascii="Century Gothic" w:eastAsia="Times New Roman" w:hAnsi="Century Gothic" w:cs="Arial"/>
                <w:b/>
                <w:i/>
              </w:rPr>
              <w:t>services</w:t>
            </w:r>
            <w:proofErr w:type="gramEnd"/>
            <w:r w:rsidRPr="00D61E32">
              <w:rPr>
                <w:rFonts w:ascii="Century Gothic" w:eastAsia="Times New Roman" w:hAnsi="Century Gothic" w:cs="Arial"/>
                <w:b/>
                <w:i/>
              </w:rPr>
              <w:t xml:space="preserve"> </w:t>
            </w:r>
          </w:p>
          <w:p w14:paraId="11822BB7" w14:textId="6BC9A21D" w:rsidR="0053103B" w:rsidRPr="00AA24AC" w:rsidRDefault="0053103B">
            <w:pPr>
              <w:rPr>
                <w:rFonts w:ascii="Century Gothic" w:eastAsia="Times New Roman" w:hAnsi="Century Gothic" w:cs="Arial"/>
              </w:rPr>
            </w:pPr>
            <w:r w:rsidRPr="00D61E32">
              <w:rPr>
                <w:rFonts w:ascii="Century Gothic" w:eastAsia="Times New Roman" w:hAnsi="Century Gothic" w:cs="Arial"/>
              </w:rPr>
              <w:t xml:space="preserve">N/A – there are no exceptions to the E/I determination process </w:t>
            </w:r>
          </w:p>
        </w:tc>
      </w:tr>
      <w:tr w:rsidR="0053103B" w:rsidRPr="00D61E32" w14:paraId="52B2F30A" w14:textId="77777777" w:rsidTr="007B4D04">
        <w:trPr>
          <w:trHeight w:val="1720"/>
        </w:trPr>
        <w:tc>
          <w:tcPr>
            <w:tcW w:w="2500" w:type="pct"/>
            <w:tcBorders>
              <w:top w:val="single" w:sz="4" w:space="0" w:color="auto"/>
              <w:left w:val="single" w:sz="4" w:space="0" w:color="auto"/>
              <w:bottom w:val="single" w:sz="4" w:space="0" w:color="auto"/>
              <w:right w:val="single" w:sz="4" w:space="0" w:color="auto"/>
            </w:tcBorders>
          </w:tcPr>
          <w:p w14:paraId="5B06D209" w14:textId="77777777" w:rsidR="0053103B" w:rsidRPr="00D61E32" w:rsidRDefault="0053103B">
            <w:pPr>
              <w:rPr>
                <w:rFonts w:ascii="Century Gothic" w:eastAsia="Times New Roman" w:hAnsi="Century Gothic" w:cs="Arial"/>
                <w:b/>
                <w:i/>
              </w:rPr>
            </w:pPr>
            <w:r w:rsidRPr="00D61E32">
              <w:rPr>
                <w:rFonts w:ascii="Century Gothic" w:eastAsia="Times New Roman" w:hAnsi="Century Gothic" w:cs="Arial"/>
                <w:b/>
                <w:i/>
              </w:rPr>
              <w:t xml:space="preserve">Step 4(c): Identify and define the factors and processes that are used to monitor and evaluate the application of E/I Treatment policies for M/S </w:t>
            </w:r>
            <w:proofErr w:type="gramStart"/>
            <w:r w:rsidRPr="00D61E32">
              <w:rPr>
                <w:rFonts w:ascii="Century Gothic" w:eastAsia="Times New Roman" w:hAnsi="Century Gothic" w:cs="Arial"/>
                <w:b/>
                <w:i/>
              </w:rPr>
              <w:t>services</w:t>
            </w:r>
            <w:proofErr w:type="gramEnd"/>
            <w:r w:rsidRPr="00D61E32">
              <w:rPr>
                <w:rFonts w:ascii="Century Gothic" w:eastAsia="Times New Roman" w:hAnsi="Century Gothic" w:cs="Arial"/>
                <w:b/>
                <w:i/>
              </w:rPr>
              <w:t xml:space="preserve"> </w:t>
            </w:r>
          </w:p>
          <w:p w14:paraId="3EAE391D" w14:textId="77777777" w:rsidR="0053103B" w:rsidRPr="00D61E32" w:rsidRDefault="0053103B">
            <w:pPr>
              <w:rPr>
                <w:rFonts w:ascii="Century Gothic" w:hAnsi="Century Gothic" w:cs="Arial"/>
              </w:rPr>
            </w:pPr>
            <w:r w:rsidRPr="00D61E32">
              <w:rPr>
                <w:rFonts w:ascii="Century Gothic" w:hAnsi="Century Gothic" w:cs="Arial"/>
              </w:rPr>
              <w:t xml:space="preserve">Cigna collects, tracks and trends relevant metrics on a semi-annual basis for services within each classification of M/S and MH/SUD benefits. Metrics may include initial EIU coverage denials, coverage denials upheld and overturned upon internal appeal and coverage denials upheld and overturned upon external appeal/review. </w:t>
            </w:r>
          </w:p>
          <w:p w14:paraId="5BC2DE41" w14:textId="77777777" w:rsidR="0053103B" w:rsidRPr="00D61E32" w:rsidRDefault="0053103B">
            <w:pPr>
              <w:rPr>
                <w:rFonts w:ascii="Century Gothic" w:hAnsi="Century Gothic" w:cs="Arial"/>
              </w:rPr>
            </w:pPr>
            <w:bookmarkStart w:id="19" w:name="OLE_LINK40"/>
            <w:r w:rsidRPr="00D61E32">
              <w:rPr>
                <w:rFonts w:ascii="Century Gothic" w:hAnsi="Century Gothic" w:cs="Arial"/>
                <w:b/>
                <w:bCs/>
              </w:rPr>
              <w:t xml:space="preserve">2023 Data </w:t>
            </w:r>
            <w:r w:rsidRPr="00D61E32">
              <w:rPr>
                <w:rFonts w:ascii="Century Gothic" w:hAnsi="Century Gothic" w:cs="Arial"/>
              </w:rPr>
              <w:t xml:space="preserve">– </w:t>
            </w:r>
          </w:p>
          <w:p w14:paraId="5DD53A27" w14:textId="77777777" w:rsidR="0053103B" w:rsidRPr="00D61E32" w:rsidRDefault="0053103B">
            <w:pPr>
              <w:rPr>
                <w:rFonts w:ascii="Century Gothic" w:hAnsi="Century Gothic" w:cs="Arial"/>
                <w:b/>
                <w:bCs/>
              </w:rPr>
            </w:pPr>
            <w:r w:rsidRPr="00D61E32">
              <w:rPr>
                <w:rFonts w:ascii="Century Gothic" w:hAnsi="Century Gothic" w:cs="Arial"/>
                <w:b/>
                <w:bCs/>
              </w:rPr>
              <w:t xml:space="preserve">Utilization Management </w:t>
            </w:r>
          </w:p>
          <w:p w14:paraId="48D845F2" w14:textId="0906568E" w:rsidR="0053103B" w:rsidRPr="00AA24AC" w:rsidRDefault="0053103B">
            <w:pPr>
              <w:rPr>
                <w:rFonts w:ascii="Century Gothic" w:hAnsi="Century Gothic" w:cs="Arial"/>
                <w:b/>
                <w:bCs/>
              </w:rPr>
            </w:pPr>
            <w:r w:rsidRPr="00D61E32">
              <w:rPr>
                <w:rFonts w:ascii="Century Gothic" w:hAnsi="Century Gothic" w:cs="Arial"/>
              </w:rPr>
              <w:t>Wellfleet delegates Utilization Management to Cigna.  The data represents an analysis of prior, concurrent, and retrospective review authorization requests across Wellfleet’s Book of Business from January 1, 2023 – December 31, 2023.</w:t>
            </w:r>
            <w:r w:rsidRPr="00D61E32">
              <w:rPr>
                <w:rFonts w:ascii="Century Gothic" w:hAnsi="Century Gothic" w:cs="Arial"/>
                <w:b/>
                <w:bCs/>
              </w:rPr>
              <w:t xml:space="preserve"> </w:t>
            </w:r>
            <w:bookmarkEnd w:id="19"/>
          </w:p>
          <w:p w14:paraId="1C2B8984" w14:textId="315D1298" w:rsidR="0053103B" w:rsidRPr="00AA24AC" w:rsidRDefault="0053103B">
            <w:pPr>
              <w:rPr>
                <w:rFonts w:ascii="Century Gothic" w:hAnsi="Century Gothic" w:cs="Arial"/>
              </w:rPr>
            </w:pPr>
            <w:bookmarkStart w:id="20" w:name="OLE_LINK44"/>
            <w:r w:rsidRPr="00D61E32">
              <w:rPr>
                <w:rFonts w:ascii="Century Gothic" w:hAnsi="Century Gothic" w:cs="Arial"/>
              </w:rPr>
              <w:t xml:space="preserve">The number of utilization review decisions across the Wellfleet - Cigna book of business data noted above, reflects significantly less denial rates on average across all benefit classifications for utilization management for MHSUD including prior authorization, concurrent </w:t>
            </w:r>
            <w:proofErr w:type="gramStart"/>
            <w:r w:rsidRPr="00D61E32">
              <w:rPr>
                <w:rFonts w:ascii="Century Gothic" w:hAnsi="Century Gothic" w:cs="Arial"/>
              </w:rPr>
              <w:t>review</w:t>
            </w:r>
            <w:proofErr w:type="gramEnd"/>
            <w:r w:rsidRPr="00D61E32">
              <w:rPr>
                <w:rFonts w:ascii="Century Gothic" w:hAnsi="Century Gothic" w:cs="Arial"/>
              </w:rPr>
              <w:t xml:space="preserve"> and retrospective review for medical necessity denials. </w:t>
            </w:r>
            <w:proofErr w:type="spellStart"/>
            <w:r w:rsidRPr="00D61E32">
              <w:rPr>
                <w:rFonts w:ascii="Century Gothic" w:hAnsi="Century Gothic" w:cs="Arial"/>
              </w:rPr>
              <w:t>MedSurg</w:t>
            </w:r>
            <w:proofErr w:type="spellEnd"/>
            <w:r w:rsidRPr="00D61E32">
              <w:rPr>
                <w:rFonts w:ascii="Century Gothic" w:hAnsi="Century Gothic" w:cs="Arial"/>
              </w:rPr>
              <w:t xml:space="preserve"> services denials are significantly higher than medical necessity denials of MH/SUD services. </w:t>
            </w:r>
          </w:p>
          <w:p w14:paraId="4D4741C7" w14:textId="77777777" w:rsidR="0053103B" w:rsidRPr="00D61E32" w:rsidRDefault="0053103B">
            <w:pPr>
              <w:rPr>
                <w:rFonts w:ascii="Century Gothic" w:hAnsi="Century Gothic" w:cs="Arial"/>
                <w:b/>
                <w:bCs/>
              </w:rPr>
            </w:pPr>
            <w:r w:rsidRPr="00D61E32">
              <w:rPr>
                <w:rFonts w:ascii="Century Gothic" w:hAnsi="Century Gothic" w:cs="Arial"/>
                <w:b/>
                <w:bCs/>
              </w:rPr>
              <w:t xml:space="preserve">Claims </w:t>
            </w:r>
          </w:p>
          <w:p w14:paraId="64BD414E" w14:textId="3A78220B" w:rsidR="0053103B" w:rsidRPr="00D61E32" w:rsidRDefault="0053103B">
            <w:pPr>
              <w:rPr>
                <w:rFonts w:ascii="Century Gothic" w:hAnsi="Century Gothic" w:cs="Arial"/>
              </w:rPr>
            </w:pPr>
            <w:r w:rsidRPr="00D61E32">
              <w:rPr>
                <w:rFonts w:ascii="Century Gothic" w:hAnsi="Century Gothic" w:cs="Arial"/>
              </w:rPr>
              <w:t xml:space="preserve">Overall, </w:t>
            </w:r>
            <w:bookmarkStart w:id="21" w:name="OLE_LINK36"/>
            <w:r w:rsidRPr="00D61E32">
              <w:rPr>
                <w:rFonts w:ascii="Century Gothic" w:hAnsi="Century Gothic" w:cs="Arial"/>
              </w:rPr>
              <w:t xml:space="preserve">Wellfleet’s Claims Summary Data revealed 64 claims denied for E/I out of 41749  denials or &lt;1% for MHSUD. For </w:t>
            </w:r>
            <w:proofErr w:type="spellStart"/>
            <w:r w:rsidRPr="00D61E32">
              <w:rPr>
                <w:rFonts w:ascii="Century Gothic" w:hAnsi="Century Gothic" w:cs="Arial"/>
              </w:rPr>
              <w:t>MedSurg</w:t>
            </w:r>
            <w:proofErr w:type="spellEnd"/>
            <w:r w:rsidRPr="00D61E32">
              <w:rPr>
                <w:rFonts w:ascii="Century Gothic" w:hAnsi="Century Gothic" w:cs="Arial"/>
              </w:rPr>
              <w:t xml:space="preserve">, there were 22 claims denied for E/I out of 112105 denials or &lt;1%.  This demonstrates that MHSUD is no more stringent </w:t>
            </w:r>
            <w:r w:rsidRPr="00D61E32">
              <w:rPr>
                <w:rFonts w:ascii="Century Gothic" w:eastAsia="Times New Roman" w:hAnsi="Century Gothic" w:cs="Arial"/>
              </w:rPr>
              <w:t xml:space="preserve">for MH/SUD services within a classification of benefits than for M/S services within the same classification of benefits. </w:t>
            </w:r>
            <w:r w:rsidRPr="00D61E32">
              <w:rPr>
                <w:rFonts w:ascii="Century Gothic" w:hAnsi="Century Gothic" w:cs="Arial"/>
              </w:rPr>
              <w:t xml:space="preserve">While operational outcomes are not determinative of NQTL compliance, and a plan may comply with the NQTL requirement notwithstanding a disparate outcome for an NQTL applied to MH/SUD benefits as compared to M/S benefits, comparable outcomes can help evidence compliance with the in-operation component of the NQTL requirement. </w:t>
            </w:r>
            <w:bookmarkEnd w:id="20"/>
            <w:bookmarkEnd w:id="21"/>
          </w:p>
        </w:tc>
        <w:tc>
          <w:tcPr>
            <w:tcW w:w="2500" w:type="pct"/>
            <w:tcBorders>
              <w:top w:val="single" w:sz="4" w:space="0" w:color="auto"/>
              <w:left w:val="single" w:sz="4" w:space="0" w:color="auto"/>
              <w:bottom w:val="single" w:sz="4" w:space="0" w:color="auto"/>
              <w:right w:val="single" w:sz="4" w:space="0" w:color="auto"/>
            </w:tcBorders>
          </w:tcPr>
          <w:p w14:paraId="4B7F3D21" w14:textId="77777777" w:rsidR="0053103B" w:rsidRPr="00D61E32" w:rsidRDefault="0053103B">
            <w:pPr>
              <w:rPr>
                <w:rFonts w:ascii="Century Gothic" w:eastAsia="Times New Roman" w:hAnsi="Century Gothic" w:cs="Arial"/>
                <w:b/>
                <w:i/>
              </w:rPr>
            </w:pPr>
            <w:r w:rsidRPr="00D61E32">
              <w:rPr>
                <w:rFonts w:ascii="Century Gothic" w:eastAsia="Times New Roman" w:hAnsi="Century Gothic" w:cs="Arial"/>
                <w:b/>
                <w:i/>
              </w:rPr>
              <w:t xml:space="preserve">Step 4(c): Identify and define the factors and processes that are used to monitor and evaluate the application of E/I Treatment policies for MH/SUD </w:t>
            </w:r>
            <w:proofErr w:type="gramStart"/>
            <w:r w:rsidRPr="00D61E32">
              <w:rPr>
                <w:rFonts w:ascii="Century Gothic" w:eastAsia="Times New Roman" w:hAnsi="Century Gothic" w:cs="Arial"/>
                <w:b/>
                <w:i/>
              </w:rPr>
              <w:t>services</w:t>
            </w:r>
            <w:proofErr w:type="gramEnd"/>
            <w:r w:rsidRPr="00D61E32">
              <w:rPr>
                <w:rFonts w:ascii="Century Gothic" w:eastAsia="Times New Roman" w:hAnsi="Century Gothic" w:cs="Arial"/>
                <w:b/>
                <w:i/>
              </w:rPr>
              <w:t xml:space="preserve"> </w:t>
            </w:r>
          </w:p>
          <w:p w14:paraId="4EC0BA2B" w14:textId="77777777" w:rsidR="0053103B" w:rsidRPr="00D61E32" w:rsidRDefault="0053103B">
            <w:pPr>
              <w:rPr>
                <w:rFonts w:ascii="Century Gothic" w:eastAsia="Times New Roman" w:hAnsi="Century Gothic" w:cs="Arial"/>
                <w:bCs/>
                <w:iCs/>
              </w:rPr>
            </w:pPr>
            <w:r w:rsidRPr="00D61E32">
              <w:rPr>
                <w:rFonts w:ascii="Century Gothic" w:eastAsia="Times New Roman" w:hAnsi="Century Gothic" w:cs="Arial"/>
                <w:bCs/>
                <w:iCs/>
              </w:rPr>
              <w:t>Same as M/S</w:t>
            </w:r>
          </w:p>
        </w:tc>
      </w:tr>
      <w:tr w:rsidR="0053103B" w:rsidRPr="00D61E32" w14:paraId="76CBF94C" w14:textId="77777777" w:rsidTr="007B4D04">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2A44B" w14:textId="77777777" w:rsidR="0053103B" w:rsidRPr="00D61E32" w:rsidRDefault="0053103B">
            <w:pPr>
              <w:rPr>
                <w:rFonts w:ascii="Century Gothic" w:eastAsia="Times New Roman" w:hAnsi="Century Gothic" w:cs="Arial"/>
                <w:b/>
                <w:bCs/>
              </w:rPr>
            </w:pPr>
            <w:r w:rsidRPr="00D61E32">
              <w:rPr>
                <w:rFonts w:ascii="Century Gothic" w:eastAsia="Times New Roman" w:hAnsi="Century Gothic" w:cs="Arial"/>
                <w:b/>
                <w:bCs/>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D61E32">
              <w:rPr>
                <w:rFonts w:ascii="Century Gothic" w:eastAsia="Times New Roman" w:hAnsi="Century Gothic" w:cs="Arial"/>
                <w:b/>
                <w:bCs/>
              </w:rPr>
              <w:t>section</w:t>
            </w:r>
            <w:proofErr w:type="gramEnd"/>
          </w:p>
          <w:p w14:paraId="6A05AD08" w14:textId="77777777" w:rsidR="0053103B" w:rsidRPr="00D61E32" w:rsidRDefault="0053103B" w:rsidP="0053103B">
            <w:pPr>
              <w:pStyle w:val="ListParagraph"/>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This discussion should include citations to any specific evidence considered and any results of analyses indicating that the plan or coverage is or is not in compliance with MHPAEA</w:t>
            </w:r>
            <w:r w:rsidRPr="00D61E32">
              <w:rPr>
                <w:rStyle w:val="FootnoteReference"/>
                <w:rFonts w:ascii="Century Gothic" w:eastAsia="Times New Roman" w:hAnsi="Century Gothic" w:cs="Arial"/>
                <w:bCs/>
                <w:i/>
              </w:rPr>
              <w:footnoteReference w:id="47"/>
            </w:r>
          </w:p>
        </w:tc>
      </w:tr>
      <w:tr w:rsidR="0053103B" w:rsidRPr="00D61E32" w14:paraId="7F4F9D50" w14:textId="77777777" w:rsidTr="007B4D04">
        <w:trPr>
          <w:trHeight w:val="1988"/>
        </w:trPr>
        <w:tc>
          <w:tcPr>
            <w:tcW w:w="5000" w:type="pct"/>
            <w:gridSpan w:val="2"/>
            <w:tcBorders>
              <w:top w:val="single" w:sz="4" w:space="0" w:color="auto"/>
              <w:left w:val="single" w:sz="4" w:space="0" w:color="auto"/>
              <w:bottom w:val="single" w:sz="4" w:space="0" w:color="auto"/>
              <w:right w:val="single" w:sz="4" w:space="0" w:color="auto"/>
            </w:tcBorders>
          </w:tcPr>
          <w:p w14:paraId="36D4E861"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b/>
                <w:bCs/>
              </w:rPr>
              <w:t>As written</w:t>
            </w:r>
            <w:r w:rsidRPr="00D61E32">
              <w:rPr>
                <w:rFonts w:ascii="Century Gothic" w:eastAsia="Times New Roman" w:hAnsi="Century Gothic" w:cs="Arial"/>
              </w:rPr>
              <w:t>: The definition of experimental/investigational /unproven services is the same for MS and MH/SUD. A single review committee, Cigna’s MTAC evaluates all new technologies for M/S and MH/SUD benefits. Cigna's methodology and processes for determining whether M/S interventions and MH/SUD interventions within a classification of benefits are experimental, investigational and/or unproven are comparable and no more stringent for MH/SUD services within a classification of benefits than for M/S services within the same classification of benefits as written and in operation.</w:t>
            </w:r>
          </w:p>
          <w:p w14:paraId="55DCB5D4"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rPr>
              <w:t xml:space="preserve">The use of MTAC for development of </w:t>
            </w:r>
            <w:proofErr w:type="gramStart"/>
            <w:r w:rsidRPr="00D61E32">
              <w:rPr>
                <w:rFonts w:ascii="Century Gothic" w:eastAsia="Times New Roman" w:hAnsi="Century Gothic" w:cs="Arial"/>
              </w:rPr>
              <w:t>evidence based</w:t>
            </w:r>
            <w:proofErr w:type="gramEnd"/>
            <w:r w:rsidRPr="00D61E32">
              <w:rPr>
                <w:rFonts w:ascii="Century Gothic" w:eastAsia="Times New Roman" w:hAnsi="Century Gothic" w:cs="Arial"/>
              </w:rPr>
              <w:t xml:space="preserve"> Coverage Policies for M/S and MH/SUD demonstrates as written and in operation reflect they are comparable and no </w:t>
            </w:r>
            <w:proofErr w:type="gramStart"/>
            <w:r w:rsidRPr="00D61E32">
              <w:rPr>
                <w:rFonts w:ascii="Century Gothic" w:eastAsia="Times New Roman" w:hAnsi="Century Gothic" w:cs="Arial"/>
              </w:rPr>
              <w:t>more</w:t>
            </w:r>
            <w:proofErr w:type="gramEnd"/>
            <w:r w:rsidRPr="00D61E32">
              <w:rPr>
                <w:rFonts w:ascii="Century Gothic" w:eastAsia="Times New Roman" w:hAnsi="Century Gothic" w:cs="Arial"/>
              </w:rPr>
              <w:t xml:space="preserve"> stringent for MH/SUD services.</w:t>
            </w:r>
          </w:p>
          <w:p w14:paraId="036B6796"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b/>
                <w:bCs/>
              </w:rPr>
              <w:t>In operation</w:t>
            </w:r>
            <w:r w:rsidRPr="00D61E32">
              <w:rPr>
                <w:rFonts w:ascii="Century Gothic" w:eastAsia="Times New Roman" w:hAnsi="Century Gothic" w:cs="Arial"/>
              </w:rPr>
              <w:t xml:space="preserve">: An “in operation” review of claims data from Wellfleet  plans revealed no excessive denial rates for MH/SUD claims denied as experimental, </w:t>
            </w:r>
            <w:proofErr w:type="gramStart"/>
            <w:r w:rsidRPr="00D61E32">
              <w:rPr>
                <w:rFonts w:ascii="Century Gothic" w:eastAsia="Times New Roman" w:hAnsi="Century Gothic" w:cs="Arial"/>
              </w:rPr>
              <w:t>investigational</w:t>
            </w:r>
            <w:proofErr w:type="gramEnd"/>
            <w:r w:rsidRPr="00D61E32">
              <w:rPr>
                <w:rFonts w:ascii="Century Gothic" w:eastAsia="Times New Roman" w:hAnsi="Century Gothic" w:cs="Arial"/>
              </w:rPr>
              <w:t xml:space="preserve"> and unproven as compared to M/S claims denied as experimental, investigational and unproven. An “in operation” review of Cigna’s application of the Experimental, Investigational, and Unproven NQTL, specifically approvals and denial information, in the “All Other Outpatient, Out-of-Network, Services” classification revealed no statistically significant discrepancies in EIU denial rates as-between MH/SUD and M/S benefits.  </w:t>
            </w:r>
          </w:p>
          <w:p w14:paraId="005172F0" w14:textId="77777777" w:rsidR="0053103B" w:rsidRPr="00D61E32" w:rsidRDefault="0053103B">
            <w:pPr>
              <w:rPr>
                <w:rFonts w:ascii="Century Gothic" w:eastAsia="Times New Roman" w:hAnsi="Century Gothic" w:cs="Arial"/>
              </w:rPr>
            </w:pPr>
            <w:r w:rsidRPr="00D61E32">
              <w:rPr>
                <w:rFonts w:ascii="Century Gothic" w:eastAsia="Times New Roman" w:hAnsi="Century Gothic" w:cs="Arial"/>
              </w:rPr>
              <w:t>While operational outcomes are not determinative of NQTL compliance, and an insurer may comply with the NQTL requirement notwithstanding a disparate outcome for an NQTL applied to MH/SUD benefits as compared to M/S benefits, comparable outcomes can help evidence compliance with the in-operation component of the NQTL requirement. Consequently, Cigna concludes that the NQTL was applied comparably and no more stringently to MH/SUD benefits than to M/S benefits.</w:t>
            </w:r>
          </w:p>
          <w:p w14:paraId="393347A0" w14:textId="1F1FDF71" w:rsidR="0053103B" w:rsidRPr="00D61E32" w:rsidRDefault="0053103B">
            <w:pPr>
              <w:rPr>
                <w:rFonts w:ascii="Century Gothic" w:eastAsia="Times New Roman" w:hAnsi="Century Gothic" w:cs="Arial"/>
              </w:rPr>
            </w:pPr>
            <w:r w:rsidRPr="00D61E32">
              <w:rPr>
                <w:rFonts w:ascii="Century Gothic" w:eastAsia="Times New Roman" w:hAnsi="Century Gothic" w:cs="Arial"/>
                <w:b/>
                <w:bCs/>
              </w:rPr>
              <w:t>Findings conclusions</w:t>
            </w:r>
            <w:r w:rsidRPr="00D61E32">
              <w:rPr>
                <w:rFonts w:ascii="Century Gothic" w:eastAsia="Times New Roman" w:hAnsi="Century Gothic" w:cs="Arial"/>
              </w:rPr>
              <w:t xml:space="preserve">: </w:t>
            </w:r>
            <w:r w:rsidRPr="00D61E32">
              <w:rPr>
                <w:rFonts w:ascii="Century Gothic" w:eastAsia="Times New Roman" w:hAnsi="Century Gothic"/>
                <w:iCs/>
              </w:rPr>
              <w:t xml:space="preserve"> </w:t>
            </w:r>
            <w:r w:rsidRPr="00D61E32">
              <w:rPr>
                <w:rFonts w:ascii="Century Gothic" w:eastAsia="Times New Roman" w:hAnsi="Century Gothic" w:cs="Arial"/>
              </w:rPr>
              <w:t xml:space="preserve">The application of the same NQTL standard across M/S and MH/SUD benefits demonstrates as written and in operation </w:t>
            </w:r>
            <w:proofErr w:type="gramStart"/>
            <w:r w:rsidRPr="00D61E32">
              <w:rPr>
                <w:rFonts w:ascii="Century Gothic" w:eastAsia="Times New Roman" w:hAnsi="Century Gothic" w:cs="Arial"/>
              </w:rPr>
              <w:t>reflect</w:t>
            </w:r>
            <w:proofErr w:type="gramEnd"/>
            <w:r w:rsidRPr="00D61E32">
              <w:rPr>
                <w:rFonts w:ascii="Century Gothic" w:eastAsia="Times New Roman" w:hAnsi="Century Gothic" w:cs="Arial"/>
              </w:rPr>
              <w:t xml:space="preserve"> they are comparable and </w:t>
            </w:r>
            <w:bookmarkStart w:id="22" w:name="OLE_LINK45"/>
            <w:r w:rsidRPr="00D61E32">
              <w:rPr>
                <w:rFonts w:ascii="Century Gothic" w:eastAsia="Times New Roman" w:hAnsi="Century Gothic" w:cs="Arial"/>
              </w:rPr>
              <w:t xml:space="preserve">no more stringent for MH/SUD services within a classification of benefits than for M/S services within the same classification of benefits. </w:t>
            </w:r>
            <w:bookmarkEnd w:id="22"/>
          </w:p>
        </w:tc>
      </w:tr>
    </w:tbl>
    <w:p w14:paraId="206A271A" w14:textId="77777777" w:rsidR="0060101A" w:rsidRPr="00D61E32" w:rsidRDefault="0060101A" w:rsidP="0053103B">
      <w:pPr>
        <w:pStyle w:val="ListParagraph"/>
        <w:rPr>
          <w:rFonts w:ascii="Century Gothic" w:hAnsi="Century Gothic" w:cs="Times New Roman"/>
          <w:b/>
          <w:u w:val="single"/>
        </w:rPr>
      </w:pPr>
    </w:p>
    <w:p w14:paraId="4FC7AA03" w14:textId="77777777" w:rsidR="00300B1E" w:rsidRPr="00D61E32" w:rsidRDefault="00300B1E" w:rsidP="00300B1E">
      <w:pPr>
        <w:pStyle w:val="ListParagraph"/>
        <w:rPr>
          <w:rFonts w:ascii="Century Gothic" w:hAnsi="Century Gothic" w:cs="Times New Roman"/>
        </w:rPr>
      </w:pPr>
    </w:p>
    <w:p w14:paraId="5D3F7C65" w14:textId="4AFDCE0A" w:rsidR="00885A6A" w:rsidRPr="00D61E32" w:rsidRDefault="00D36D15" w:rsidP="00885A6A">
      <w:pPr>
        <w:pStyle w:val="ListParagraph"/>
        <w:numPr>
          <w:ilvl w:val="0"/>
          <w:numId w:val="3"/>
        </w:numPr>
        <w:rPr>
          <w:rFonts w:ascii="Century Gothic" w:hAnsi="Century Gothic" w:cs="Times New Roman"/>
          <w:b/>
          <w:u w:val="single"/>
        </w:rPr>
      </w:pPr>
      <w:r w:rsidRPr="00D61E32">
        <w:rPr>
          <w:rFonts w:ascii="Century Gothic" w:hAnsi="Century Gothic" w:cs="Times New Roman"/>
          <w:b/>
          <w:u w:val="single"/>
        </w:rPr>
        <w:t>Standards for Provider Credentialing and Contracting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281"/>
      </w:tblGrid>
      <w:tr w:rsidR="007C1A22" w:rsidRPr="00D61E32" w14:paraId="21C3C956" w14:textId="77777777" w:rsidTr="004D49C2">
        <w:trPr>
          <w:trHeight w:val="68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hideMark/>
          </w:tcPr>
          <w:p w14:paraId="6DDBBBE2"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 xml:space="preserve">NQTL Type: Network Admissions (Network Adequacy, Credentialing and Provider Reimbursement) – Cigna Administered Plans </w:t>
            </w:r>
          </w:p>
        </w:tc>
      </w:tr>
      <w:tr w:rsidR="007C1A22" w:rsidRPr="00D61E32" w14:paraId="45C728A7" w14:textId="77777777" w:rsidTr="004D49C2">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hideMark/>
          </w:tcPr>
          <w:p w14:paraId="6F0FA202"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 xml:space="preserve">Classification(s): Inpatient and Outpatient (In-network) </w:t>
            </w:r>
          </w:p>
        </w:tc>
      </w:tr>
      <w:tr w:rsidR="007C1A22" w:rsidRPr="00D61E32" w14:paraId="298778EE" w14:textId="77777777" w:rsidTr="004D49C2">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046F6750" w14:textId="77777777" w:rsidR="007C1A22" w:rsidRPr="00D61E32" w:rsidRDefault="007C1A22" w:rsidP="007C1A22">
            <w:pPr>
              <w:spacing w:after="0" w:line="240" w:lineRule="auto"/>
              <w:rPr>
                <w:rFonts w:ascii="Century Gothic" w:eastAsia="Times New Roman" w:hAnsi="Century Gothic" w:cs="Arial"/>
                <w:b/>
                <w:bCs/>
              </w:rPr>
            </w:pPr>
          </w:p>
          <w:p w14:paraId="40DB16F8"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 xml:space="preserve">Step 1 – Identify the specific plan or coverage terms or other relevant terms regarding the NQTL and a description of all mental health or substance use disorder and medical or surgical benefits to which each such term applies in each respective </w:t>
            </w:r>
            <w:proofErr w:type="gramStart"/>
            <w:r w:rsidRPr="00D61E32">
              <w:rPr>
                <w:rFonts w:ascii="Century Gothic" w:eastAsia="Times New Roman" w:hAnsi="Century Gothic" w:cs="Arial"/>
                <w:b/>
                <w:bCs/>
              </w:rPr>
              <w:t>benefits</w:t>
            </w:r>
            <w:proofErr w:type="gramEnd"/>
            <w:r w:rsidRPr="00D61E32">
              <w:rPr>
                <w:rFonts w:ascii="Century Gothic" w:eastAsia="Times New Roman" w:hAnsi="Century Gothic" w:cs="Arial"/>
                <w:b/>
                <w:bCs/>
              </w:rPr>
              <w:t xml:space="preserve"> classification</w:t>
            </w:r>
          </w:p>
          <w:p w14:paraId="300CF6B2" w14:textId="77777777" w:rsidR="007C1A22" w:rsidRPr="00D61E32" w:rsidRDefault="007C1A22" w:rsidP="007C1A22">
            <w:pPr>
              <w:numPr>
                <w:ilvl w:val="0"/>
                <w:numId w:val="29"/>
              </w:numPr>
              <w:spacing w:after="0" w:line="240" w:lineRule="auto"/>
              <w:rPr>
                <w:rFonts w:ascii="Century Gothic" w:eastAsia="Times New Roman" w:hAnsi="Century Gothic" w:cs="Arial"/>
                <w:b/>
                <w:bCs/>
              </w:rPr>
            </w:pPr>
            <w:r w:rsidRPr="00D61E32">
              <w:rPr>
                <w:rFonts w:ascii="Century Gothic" w:eastAsia="Times New Roman" w:hAnsi="Century Gothic" w:cs="Arial"/>
                <w:bCs/>
                <w:i/>
              </w:rPr>
              <w:t xml:space="preserve">Provide a clear description of the specific NQTL, plan terms, and policies at </w:t>
            </w:r>
            <w:proofErr w:type="gramStart"/>
            <w:r w:rsidRPr="00D61E32">
              <w:rPr>
                <w:rFonts w:ascii="Century Gothic" w:eastAsia="Times New Roman" w:hAnsi="Century Gothic" w:cs="Arial"/>
                <w:bCs/>
                <w:i/>
              </w:rPr>
              <w:t>issue</w:t>
            </w:r>
            <w:proofErr w:type="gramEnd"/>
          </w:p>
          <w:p w14:paraId="7C60D2E4" w14:textId="77777777" w:rsidR="007C1A22" w:rsidRPr="00D61E32" w:rsidRDefault="007C1A22" w:rsidP="007C1A22">
            <w:pPr>
              <w:numPr>
                <w:ilvl w:val="0"/>
                <w:numId w:val="29"/>
              </w:numPr>
              <w:spacing w:after="0" w:line="240" w:lineRule="auto"/>
              <w:rPr>
                <w:rFonts w:ascii="Century Gothic" w:eastAsia="Times New Roman" w:hAnsi="Century Gothic" w:cs="Arial"/>
                <w:b/>
                <w:bCs/>
              </w:rPr>
            </w:pPr>
            <w:r w:rsidRPr="00D61E32">
              <w:rPr>
                <w:rFonts w:ascii="Century Gothic" w:eastAsia="Times New Roman" w:hAnsi="Century Gothic" w:cs="Arial"/>
                <w:bCs/>
                <w:i/>
              </w:rPr>
              <w:t>Identify which M/S and MH/SUD benefits are subject to the NQTL</w:t>
            </w:r>
          </w:p>
        </w:tc>
      </w:tr>
      <w:tr w:rsidR="007C1A22" w:rsidRPr="00D61E32" w14:paraId="7E617150" w14:textId="77777777" w:rsidTr="004D49C2">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51DEBA57" w14:textId="53333C6F" w:rsidR="007C1A22" w:rsidRPr="00D61E32" w:rsidRDefault="007C1A22" w:rsidP="007C1A22">
            <w:pPr>
              <w:spacing w:after="0" w:line="240" w:lineRule="auto"/>
              <w:rPr>
                <w:rFonts w:ascii="Century Gothic" w:eastAsia="Times New Roman" w:hAnsi="Century Gothic" w:cs="Arial"/>
                <w:bCs/>
              </w:rPr>
            </w:pPr>
            <w:r w:rsidRPr="00D61E32">
              <w:rPr>
                <w:rFonts w:ascii="Century Gothic" w:eastAsia="Times New Roman" w:hAnsi="Century Gothic" w:cs="Arial"/>
                <w:b/>
                <w:bCs/>
                <w:i/>
              </w:rPr>
              <w:t>Step 1(a): Provide a clear description of the specific NQTL, plan terms, and policies at issue</w:t>
            </w:r>
            <w:r w:rsidRPr="00D61E32">
              <w:rPr>
                <w:rFonts w:ascii="Century Gothic" w:eastAsia="Times New Roman" w:hAnsi="Century Gothic" w:cs="Arial"/>
                <w:bCs/>
              </w:rPr>
              <w:t xml:space="preserve">: </w:t>
            </w:r>
          </w:p>
          <w:p w14:paraId="48F9219F" w14:textId="6FA246A9" w:rsidR="007C1A22" w:rsidRPr="00D61E32" w:rsidRDefault="007C1A22" w:rsidP="007C1A22">
            <w:pPr>
              <w:autoSpaceDE w:val="0"/>
              <w:autoSpaceDN w:val="0"/>
              <w:adjustRightInd w:val="0"/>
              <w:spacing w:after="0" w:line="240" w:lineRule="auto"/>
              <w:jc w:val="both"/>
              <w:rPr>
                <w:rFonts w:ascii="Century Gothic" w:eastAsia="Times New Roman" w:hAnsi="Century Gothic" w:cs="Arial"/>
                <w:color w:val="000000"/>
              </w:rPr>
            </w:pPr>
            <w:r w:rsidRPr="00D61E32">
              <w:rPr>
                <w:rFonts w:ascii="Century Gothic" w:eastAsia="Times New Roman" w:hAnsi="Century Gothic" w:cs="Arial"/>
                <w:color w:val="000000"/>
              </w:rPr>
              <w:t>Network Admissions is considered a non-quantitative treatment limitation (“NQTL”) under the Mental Health Parity and Addiction Equity Act of 2008 (“MHPAEA”) and its implementing regulations and sub-regulatory guidance. Network Admissions includes network adequacy, provider credentialing, and provider reimbursement methodologies.</w:t>
            </w:r>
          </w:p>
          <w:p w14:paraId="3EE940F7" w14:textId="3F7DC784" w:rsidR="007C1A22" w:rsidRPr="00D61E32" w:rsidRDefault="007C1A22" w:rsidP="007C1A22">
            <w:pPr>
              <w:spacing w:after="0" w:line="240" w:lineRule="auto"/>
              <w:rPr>
                <w:rFonts w:ascii="Century Gothic" w:eastAsia="Times New Roman" w:hAnsi="Century Gothic" w:cs="Arial"/>
                <w:b/>
                <w:bCs/>
                <w:iCs/>
              </w:rPr>
            </w:pPr>
            <w:r w:rsidRPr="00D61E32">
              <w:rPr>
                <w:rFonts w:ascii="Century Gothic" w:eastAsia="Times New Roman" w:hAnsi="Century Gothic" w:cs="Arial"/>
              </w:rPr>
              <w:t>This document represents an NQTL comparative analysis for Network Admissions applied to</w:t>
            </w:r>
            <w:r w:rsidRPr="00D61E32">
              <w:rPr>
                <w:rFonts w:ascii="Century Gothic" w:eastAsia="Times New Roman" w:hAnsi="Century Gothic" w:cs="Arial"/>
                <w:color w:val="000000"/>
              </w:rPr>
              <w:t xml:space="preserve"> mental health and/or substance use disorder (“MH/SUD”) services, and/or providers of such services, and to medical/ surgical (“M/S”) services and/or providers of such services, for inpatient and outpatient benefit classifications</w:t>
            </w:r>
            <w:r w:rsidRPr="00D61E32">
              <w:rPr>
                <w:rFonts w:ascii="Century Gothic" w:eastAsia="Times New Roman" w:hAnsi="Century Gothic" w:cs="Arial"/>
              </w:rPr>
              <w:t xml:space="preserve"> and is incorporated into plans insured by Cigna Health and Life Insurance Company (“CHLIC”).  </w:t>
            </w:r>
          </w:p>
          <w:p w14:paraId="3CB078DE" w14:textId="575BF230" w:rsidR="007C1A22" w:rsidRPr="00D61E32" w:rsidRDefault="007C1A22" w:rsidP="007C1A22">
            <w:pPr>
              <w:spacing w:after="0" w:line="240" w:lineRule="auto"/>
              <w:rPr>
                <w:rFonts w:ascii="Century Gothic" w:eastAsia="Times New Roman" w:hAnsi="Century Gothic" w:cs="Arial"/>
                <w:b/>
                <w:bCs/>
                <w:iCs/>
              </w:rPr>
            </w:pPr>
            <w:proofErr w:type="spellStart"/>
            <w:r w:rsidRPr="00D61E32">
              <w:rPr>
                <w:rFonts w:ascii="Century Gothic" w:eastAsia="Times New Roman" w:hAnsi="Century Gothic" w:cs="Arial"/>
              </w:rPr>
              <w:t>Evernorth</w:t>
            </w:r>
            <w:proofErr w:type="spellEnd"/>
            <w:r w:rsidRPr="00D61E32">
              <w:rPr>
                <w:rFonts w:ascii="Century Gothic" w:eastAsia="Times New Roman" w:hAnsi="Century Gothic" w:cs="Arial"/>
              </w:rPr>
              <w:t xml:space="preserve"> Behavioral Health (“</w:t>
            </w:r>
            <w:proofErr w:type="spellStart"/>
            <w:r w:rsidRPr="00D61E32">
              <w:rPr>
                <w:rFonts w:ascii="Century Gothic" w:eastAsia="Times New Roman" w:hAnsi="Century Gothic" w:cs="Arial"/>
              </w:rPr>
              <w:t>Evernorth</w:t>
            </w:r>
            <w:proofErr w:type="spellEnd"/>
            <w:r w:rsidRPr="00D61E32">
              <w:rPr>
                <w:rFonts w:ascii="Century Gothic" w:eastAsia="Times New Roman" w:hAnsi="Century Gothic" w:cs="Arial"/>
              </w:rPr>
              <w:t xml:space="preserve">” or “EBH,” formerly Cigna Behavioral Health), an affiliate of Cigna Health and Life Insurance Company (“CHLIC”), performs all aspects of provider network admissions including Network Adequacy, Contracting, Credentialing and Reimbursement for the MH/SUD Network, while CHLIC performs all aspects of provider network admissions including Network Adequacy, Contracting, Credentialing and Reimbursement for the M/S Network. References to “Cigna” contained herein include </w:t>
            </w:r>
            <w:proofErr w:type="spellStart"/>
            <w:r w:rsidRPr="00D61E32">
              <w:rPr>
                <w:rFonts w:ascii="Century Gothic" w:eastAsia="Times New Roman" w:hAnsi="Century Gothic" w:cs="Arial"/>
              </w:rPr>
              <w:t>Evernorth</w:t>
            </w:r>
            <w:proofErr w:type="spellEnd"/>
            <w:r w:rsidRPr="00D61E32">
              <w:rPr>
                <w:rFonts w:ascii="Century Gothic" w:eastAsia="Times New Roman" w:hAnsi="Century Gothic" w:cs="Arial"/>
              </w:rPr>
              <w:t xml:space="preserve"> Behavioral Health unless otherwise noted separately.  </w:t>
            </w:r>
          </w:p>
          <w:p w14:paraId="5919A81A" w14:textId="77777777" w:rsidR="007C1A22" w:rsidRPr="00D61E32" w:rsidRDefault="007C1A22" w:rsidP="007C1A22">
            <w:pPr>
              <w:autoSpaceDE w:val="0"/>
              <w:autoSpaceDN w:val="0"/>
              <w:adjustRightInd w:val="0"/>
              <w:spacing w:after="0" w:line="240" w:lineRule="auto"/>
              <w:jc w:val="both"/>
              <w:rPr>
                <w:rFonts w:ascii="Century Gothic" w:eastAsia="Times New Roman" w:hAnsi="Century Gothic" w:cs="Arial"/>
                <w:color w:val="000000"/>
              </w:rPr>
            </w:pPr>
            <w:r w:rsidRPr="00D61E32">
              <w:rPr>
                <w:rFonts w:ascii="Century Gothic" w:eastAsia="Times New Roman" w:hAnsi="Century Gothic" w:cs="Arial"/>
                <w:color w:val="000000"/>
              </w:rPr>
              <w:t xml:space="preserve">Among the NQTLs applied to MH/SUD and M/S benefits, and for which comparative analyses have been performed, Cigna has assessed several components of its standards for a provider and/or facility </w:t>
            </w:r>
            <w:r w:rsidRPr="00D61E32">
              <w:rPr>
                <w:rFonts w:ascii="Century Gothic" w:eastAsia="Times New Roman" w:hAnsi="Century Gothic" w:cs="Arial"/>
              </w:rPr>
              <w:t>(collectively “Network Providers”)</w:t>
            </w:r>
            <w:r w:rsidRPr="00D61E32">
              <w:rPr>
                <w:rFonts w:ascii="Century Gothic" w:eastAsia="Times New Roman" w:hAnsi="Century Gothic" w:cs="Arial"/>
                <w:color w:val="000000"/>
              </w:rPr>
              <w:t xml:space="preserve"> admission to participate in a network for NQTL compliance, including network adequacy, </w:t>
            </w:r>
            <w:proofErr w:type="gramStart"/>
            <w:r w:rsidRPr="00D61E32">
              <w:rPr>
                <w:rFonts w:ascii="Century Gothic" w:eastAsia="Times New Roman" w:hAnsi="Century Gothic" w:cs="Arial"/>
                <w:color w:val="000000"/>
              </w:rPr>
              <w:t>credentialing</w:t>
            </w:r>
            <w:proofErr w:type="gramEnd"/>
            <w:r w:rsidRPr="00D61E32">
              <w:rPr>
                <w:rFonts w:ascii="Century Gothic" w:eastAsia="Times New Roman" w:hAnsi="Century Gothic" w:cs="Arial"/>
                <w:color w:val="000000"/>
              </w:rPr>
              <w:t xml:space="preserve"> and the methodology for determining Network Provider reimbursement rates for inpatient and outpatient services. Cigna does not include specific plan language regarding Network Provider credentialing or Network Provider reimbursement. Wellfleet Claims Data Reimbursement analyzes Provider Specialty Reimbursement vs Medicare rates. </w:t>
            </w:r>
          </w:p>
          <w:p w14:paraId="2A32B303" w14:textId="7D66F01A" w:rsidR="007C1A22" w:rsidRPr="00D61E32" w:rsidRDefault="007C1A22" w:rsidP="007C1A22">
            <w:pPr>
              <w:autoSpaceDE w:val="0"/>
              <w:autoSpaceDN w:val="0"/>
              <w:adjustRightInd w:val="0"/>
              <w:spacing w:after="0" w:line="240" w:lineRule="auto"/>
              <w:jc w:val="both"/>
              <w:rPr>
                <w:rFonts w:ascii="Century Gothic" w:eastAsia="Times New Roman" w:hAnsi="Century Gothic" w:cs="Arial"/>
                <w:color w:val="000000"/>
              </w:rPr>
            </w:pPr>
            <w:r w:rsidRPr="00D61E32">
              <w:rPr>
                <w:rFonts w:ascii="Century Gothic" w:eastAsia="Times New Roman" w:hAnsi="Century Gothic" w:cs="Arial"/>
                <w:color w:val="000000"/>
              </w:rPr>
              <w:t>The plan language addressing the Cigna Network, including provider directory is excerpted from representative language incorporated by many plan sponsors into their employee welfare benefit plans, and states as follows.  For the purposes of clarity, this analysis excerpts one example of the governing benefit language for brevity.</w:t>
            </w:r>
          </w:p>
          <w:p w14:paraId="760A4D1B" w14:textId="77777777" w:rsidR="007C1A22" w:rsidRPr="00D61E32" w:rsidRDefault="007C1A22" w:rsidP="007C1A22">
            <w:pPr>
              <w:autoSpaceDE w:val="0"/>
              <w:autoSpaceDN w:val="0"/>
              <w:adjustRightInd w:val="0"/>
              <w:spacing w:after="0" w:line="240" w:lineRule="auto"/>
              <w:ind w:left="720"/>
              <w:rPr>
                <w:rFonts w:ascii="Century Gothic" w:eastAsia="Times New Roman" w:hAnsi="Century Gothic" w:cs="Arial"/>
                <w:color w:val="000000"/>
              </w:rPr>
            </w:pPr>
            <w:r w:rsidRPr="00D61E32">
              <w:rPr>
                <w:rFonts w:ascii="Century Gothic" w:eastAsia="Times New Roman" w:hAnsi="Century Gothic" w:cs="Arial"/>
                <w:b/>
                <w:bCs/>
                <w:color w:val="000000"/>
              </w:rPr>
              <w:t xml:space="preserve">Notice Regarding Provider Directories and Provider Networks </w:t>
            </w:r>
          </w:p>
          <w:p w14:paraId="043D0EE8" w14:textId="77777777" w:rsidR="007C1A22" w:rsidRPr="00D61E32" w:rsidRDefault="007C1A22" w:rsidP="007C1A22">
            <w:pPr>
              <w:autoSpaceDE w:val="0"/>
              <w:autoSpaceDN w:val="0"/>
              <w:adjustRightInd w:val="0"/>
              <w:spacing w:after="0" w:line="240" w:lineRule="auto"/>
              <w:ind w:left="720"/>
              <w:jc w:val="both"/>
              <w:rPr>
                <w:rFonts w:ascii="Century Gothic" w:eastAsia="Times New Roman" w:hAnsi="Century Gothic" w:cs="Arial"/>
                <w:color w:val="000000"/>
              </w:rPr>
            </w:pPr>
            <w:r w:rsidRPr="00D61E32">
              <w:rPr>
                <w:rFonts w:ascii="Century Gothic" w:eastAsia="Times New Roman" w:hAnsi="Century Gothic" w:cs="Arial"/>
                <w:color w:val="000000"/>
              </w:rPr>
              <w:t>A list of network providers is available to you without charge by visiting the website or by calling the phone number on your ID card. The network consists of providers, including hospitals, of varied specialties as well as general practice, affiliated or contracted with Cigna or an organization contracting on its behalf.</w:t>
            </w:r>
          </w:p>
          <w:p w14:paraId="357184C4" w14:textId="77777777" w:rsidR="007C1A22" w:rsidRPr="00D61E32" w:rsidRDefault="007C1A22" w:rsidP="007C1A22">
            <w:pPr>
              <w:autoSpaceDE w:val="0"/>
              <w:autoSpaceDN w:val="0"/>
              <w:adjustRightInd w:val="0"/>
              <w:spacing w:after="0" w:line="240" w:lineRule="auto"/>
              <w:ind w:left="720"/>
              <w:jc w:val="both"/>
              <w:rPr>
                <w:rFonts w:ascii="Century Gothic" w:eastAsia="Times New Roman" w:hAnsi="Century Gothic" w:cs="Arial"/>
                <w:color w:val="000000"/>
              </w:rPr>
            </w:pPr>
          </w:p>
          <w:p w14:paraId="5EFF2CAA"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 </w:t>
            </w:r>
          </w:p>
        </w:tc>
      </w:tr>
      <w:tr w:rsidR="007C1A22" w:rsidRPr="00D61E32" w14:paraId="66454D46" w14:textId="77777777" w:rsidTr="004D49C2">
        <w:trPr>
          <w:trHeight w:val="70"/>
        </w:trPr>
        <w:tc>
          <w:tcPr>
            <w:tcW w:w="2476" w:type="pct"/>
            <w:tcBorders>
              <w:top w:val="single" w:sz="4" w:space="0" w:color="auto"/>
              <w:left w:val="single" w:sz="4" w:space="0" w:color="auto"/>
              <w:bottom w:val="single" w:sz="4" w:space="0" w:color="auto"/>
              <w:right w:val="single" w:sz="4" w:space="0" w:color="auto"/>
            </w:tcBorders>
          </w:tcPr>
          <w:p w14:paraId="1FED23CE" w14:textId="71161F63" w:rsidR="007C1A22" w:rsidRPr="00AA24AC"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b/>
                <w:i/>
              </w:rPr>
              <w:t>Step 1(b): Identify the M/S benefits/services for which the NQTL is required</w:t>
            </w:r>
            <w:r w:rsidRPr="00D61E32">
              <w:rPr>
                <w:rFonts w:ascii="Century Gothic" w:eastAsia="Times New Roman" w:hAnsi="Century Gothic" w:cs="Arial"/>
              </w:rPr>
              <w:t>:</w:t>
            </w:r>
          </w:p>
          <w:p w14:paraId="332A4D87" w14:textId="78BF023C"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All benefits and services are available from the provider network, which is developed through the Network Access strategy.</w:t>
            </w:r>
          </w:p>
          <w:p w14:paraId="78ED076F" w14:textId="77777777" w:rsidR="007C1A22" w:rsidRPr="00D61E32" w:rsidRDefault="007C1A22" w:rsidP="007C1A22">
            <w:pPr>
              <w:spacing w:after="0" w:line="240" w:lineRule="auto"/>
              <w:rPr>
                <w:rFonts w:ascii="Century Gothic" w:eastAsia="Times New Roman" w:hAnsi="Century Gothic" w:cs="Arial"/>
                <w:b/>
                <w:iCs/>
              </w:rPr>
            </w:pPr>
          </w:p>
        </w:tc>
        <w:tc>
          <w:tcPr>
            <w:tcW w:w="2524" w:type="pct"/>
            <w:tcBorders>
              <w:top w:val="single" w:sz="4" w:space="0" w:color="auto"/>
              <w:left w:val="single" w:sz="4" w:space="0" w:color="auto"/>
              <w:bottom w:val="single" w:sz="4" w:space="0" w:color="auto"/>
              <w:right w:val="single" w:sz="4" w:space="0" w:color="auto"/>
            </w:tcBorders>
          </w:tcPr>
          <w:p w14:paraId="384333E5"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b/>
                <w:i/>
              </w:rPr>
              <w:t>Step 1(b): Identify the MH/SUD benefits/services for which the NQTL is required</w:t>
            </w:r>
            <w:r w:rsidRPr="00D61E32">
              <w:rPr>
                <w:rFonts w:ascii="Century Gothic" w:eastAsia="Times New Roman" w:hAnsi="Century Gothic" w:cs="Arial"/>
              </w:rPr>
              <w:t>:</w:t>
            </w:r>
          </w:p>
          <w:p w14:paraId="052ABABA" w14:textId="77777777" w:rsidR="007C1A22" w:rsidRPr="00D61E32" w:rsidRDefault="007C1A22" w:rsidP="007C1A22">
            <w:pPr>
              <w:spacing w:after="0" w:line="240" w:lineRule="auto"/>
              <w:rPr>
                <w:rFonts w:ascii="Century Gothic" w:eastAsia="Times New Roman" w:hAnsi="Century Gothic" w:cs="Arial"/>
                <w:b/>
                <w:iCs/>
              </w:rPr>
            </w:pPr>
          </w:p>
          <w:p w14:paraId="534A1F93"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Same as M/S</w:t>
            </w:r>
          </w:p>
          <w:p w14:paraId="5DAA3878" w14:textId="77777777" w:rsidR="007C1A22" w:rsidRPr="00D61E32" w:rsidRDefault="007C1A22" w:rsidP="007C1A22">
            <w:pPr>
              <w:spacing w:after="0" w:line="240" w:lineRule="auto"/>
              <w:rPr>
                <w:rFonts w:ascii="Century Gothic" w:eastAsia="Times New Roman" w:hAnsi="Century Gothic" w:cs="Arial"/>
                <w:b/>
                <w:i/>
              </w:rPr>
            </w:pPr>
          </w:p>
        </w:tc>
      </w:tr>
      <w:tr w:rsidR="007C1A22" w:rsidRPr="00D61E32" w14:paraId="0133FCF3" w14:textId="77777777" w:rsidTr="004D49C2">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0BB27609" w14:textId="77777777" w:rsidR="007C1A22" w:rsidRPr="00D61E32" w:rsidRDefault="007C1A22" w:rsidP="007C1A22">
            <w:pPr>
              <w:spacing w:after="0" w:line="240" w:lineRule="auto"/>
              <w:rPr>
                <w:rFonts w:ascii="Century Gothic" w:eastAsia="Times New Roman" w:hAnsi="Century Gothic" w:cs="Arial"/>
                <w:b/>
                <w:bCs/>
              </w:rPr>
            </w:pPr>
          </w:p>
          <w:p w14:paraId="5866F78F"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Step 2 – Identify the factors used to determine that the NQTL will apply to mental health or substance use disorder benefits and medical or surgical benefits</w:t>
            </w:r>
          </w:p>
        </w:tc>
      </w:tr>
      <w:tr w:rsidR="004D49C2" w:rsidRPr="00D61E32" w14:paraId="419CB532" w14:textId="77777777" w:rsidTr="004D49C2">
        <w:trPr>
          <w:trHeight w:val="314"/>
        </w:trPr>
        <w:tc>
          <w:tcPr>
            <w:tcW w:w="2476" w:type="pct"/>
            <w:tcBorders>
              <w:top w:val="single" w:sz="4" w:space="0" w:color="auto"/>
              <w:left w:val="single" w:sz="4" w:space="0" w:color="auto"/>
              <w:bottom w:val="single" w:sz="4" w:space="0" w:color="auto"/>
              <w:right w:val="single" w:sz="4" w:space="0" w:color="auto"/>
            </w:tcBorders>
            <w:shd w:val="clear" w:color="auto" w:fill="DBE5F1"/>
            <w:hideMark/>
          </w:tcPr>
          <w:p w14:paraId="427B9B24" w14:textId="77777777" w:rsidR="007C1A22" w:rsidRPr="00D61E32" w:rsidRDefault="007C1A22" w:rsidP="007C1A22">
            <w:pPr>
              <w:spacing w:after="0" w:line="240" w:lineRule="auto"/>
              <w:rPr>
                <w:rFonts w:ascii="Century Gothic" w:eastAsia="Times New Roman" w:hAnsi="Century Gothic" w:cs="Arial"/>
                <w:u w:val="single"/>
              </w:rPr>
            </w:pPr>
            <w:r w:rsidRPr="00D61E32">
              <w:rPr>
                <w:rFonts w:ascii="Century Gothic" w:eastAsia="Times New Roman" w:hAnsi="Century Gothic" w:cs="Arial"/>
                <w:b/>
                <w:u w:val="single"/>
              </w:rPr>
              <w:t>Medical/Surgical</w:t>
            </w:r>
            <w:r w:rsidRPr="00D61E32">
              <w:rPr>
                <w:rFonts w:ascii="Century Gothic" w:eastAsia="Times New Roman" w:hAnsi="Century Gothic" w:cs="Arial"/>
                <w:u w:val="single"/>
              </w:rPr>
              <w:t>:</w:t>
            </w:r>
          </w:p>
        </w:tc>
        <w:tc>
          <w:tcPr>
            <w:tcW w:w="2524" w:type="pct"/>
            <w:tcBorders>
              <w:top w:val="single" w:sz="4" w:space="0" w:color="auto"/>
              <w:left w:val="single" w:sz="4" w:space="0" w:color="auto"/>
              <w:bottom w:val="single" w:sz="4" w:space="0" w:color="auto"/>
              <w:right w:val="single" w:sz="4" w:space="0" w:color="auto"/>
            </w:tcBorders>
            <w:shd w:val="clear" w:color="auto" w:fill="DBE5F1"/>
            <w:hideMark/>
          </w:tcPr>
          <w:p w14:paraId="1AFB9C02" w14:textId="77777777" w:rsidR="007C1A22" w:rsidRPr="00D61E32" w:rsidRDefault="007C1A22" w:rsidP="007C1A22">
            <w:pPr>
              <w:spacing w:after="0" w:line="240" w:lineRule="auto"/>
              <w:rPr>
                <w:rFonts w:ascii="Century Gothic" w:eastAsia="Times New Roman" w:hAnsi="Century Gothic" w:cs="Arial"/>
                <w:u w:val="single"/>
              </w:rPr>
            </w:pPr>
            <w:r w:rsidRPr="00D61E32">
              <w:rPr>
                <w:rFonts w:ascii="Century Gothic" w:eastAsia="Times New Roman" w:hAnsi="Century Gothic" w:cs="Arial"/>
                <w:b/>
                <w:u w:val="single"/>
              </w:rPr>
              <w:t>MH/SUD</w:t>
            </w:r>
            <w:r w:rsidRPr="00D61E32">
              <w:rPr>
                <w:rFonts w:ascii="Century Gothic" w:eastAsia="Times New Roman" w:hAnsi="Century Gothic" w:cs="Arial"/>
                <w:u w:val="single"/>
              </w:rPr>
              <w:t>:</w:t>
            </w:r>
          </w:p>
        </w:tc>
      </w:tr>
      <w:tr w:rsidR="007C1A22" w:rsidRPr="00D61E32" w14:paraId="0D81F995" w14:textId="77777777" w:rsidTr="004D49C2">
        <w:trPr>
          <w:trHeight w:val="1430"/>
        </w:trPr>
        <w:tc>
          <w:tcPr>
            <w:tcW w:w="2476" w:type="pct"/>
            <w:tcBorders>
              <w:top w:val="single" w:sz="4" w:space="0" w:color="auto"/>
              <w:left w:val="single" w:sz="4" w:space="0" w:color="auto"/>
              <w:bottom w:val="single" w:sz="4" w:space="0" w:color="auto"/>
              <w:right w:val="single" w:sz="4" w:space="0" w:color="auto"/>
            </w:tcBorders>
          </w:tcPr>
          <w:p w14:paraId="33E0090B" w14:textId="77777777" w:rsidR="007C1A22" w:rsidRPr="00D61E32" w:rsidRDefault="007C1A22" w:rsidP="007C1A22">
            <w:pPr>
              <w:spacing w:after="0" w:line="240" w:lineRule="auto"/>
              <w:rPr>
                <w:rFonts w:ascii="Century Gothic" w:eastAsia="Times New Roman" w:hAnsi="Century Gothic" w:cs="Arial"/>
                <w:b/>
                <w:bCs/>
                <w:iCs/>
              </w:rPr>
            </w:pPr>
          </w:p>
          <w:p w14:paraId="34C7C895" w14:textId="77777777" w:rsidR="007C1A22" w:rsidRPr="00D61E32" w:rsidRDefault="007C1A22" w:rsidP="007C1A22">
            <w:pPr>
              <w:spacing w:after="0" w:line="240" w:lineRule="auto"/>
              <w:rPr>
                <w:rFonts w:ascii="Century Gothic" w:eastAsia="Times New Roman" w:hAnsi="Century Gothic" w:cs="Arial"/>
                <w:i/>
              </w:rPr>
            </w:pPr>
            <w:r w:rsidRPr="00D61E32">
              <w:rPr>
                <w:rFonts w:ascii="Century Gothic" w:eastAsia="Times New Roman" w:hAnsi="Century Gothic" w:cs="Arial"/>
                <w:i/>
              </w:rPr>
              <w:t xml:space="preserve">Note: although this prompt asks for the “factors used to determine that the NQTL will apply,” because this NQTL applies to 100% of benefits in all classifications, this response reflects the factors used in the design of how this NQTL applies to providers of M/S services as compares to providers of MH/SUD services.  This is a more meaningful framing for a comparability and stringency analysis for this NQTL type.  </w:t>
            </w:r>
          </w:p>
          <w:p w14:paraId="6F66D0F2" w14:textId="77777777" w:rsidR="007C1A22" w:rsidRPr="00D61E32" w:rsidRDefault="007C1A22" w:rsidP="007C1A22">
            <w:pPr>
              <w:spacing w:after="0" w:line="240" w:lineRule="auto"/>
              <w:rPr>
                <w:rFonts w:ascii="Century Gothic" w:eastAsia="Times New Roman" w:hAnsi="Century Gothic" w:cs="Arial"/>
                <w:iCs/>
              </w:rPr>
            </w:pPr>
          </w:p>
          <w:p w14:paraId="566AC56E"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When a medical or behavioral provider requests participation in the Cigna network(s) or when Cigna identifies a provider to recruit into its network(s), the provider is presented with a contract proposal which describes the details of the entire agreement such as obligations of the physician, obligations of Cigna, term of the contract, reimbursement, and applicable state supplemental requirements. </w:t>
            </w:r>
          </w:p>
          <w:p w14:paraId="5924EDFE"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Cigna will respond within 20 days of provider inquiry to join the Cigna network.  The provider either accepts the proposed contract or may request negotiated changes to Cigna’s standard provider template and standard reimbursement rates.  Revisions to the standard Provider contract terms and reimbursement rates are analyzed and negotiated by either a Recruiter or Contract Negotiator, with oversight from a Contracting Director. </w:t>
            </w:r>
          </w:p>
          <w:p w14:paraId="78CB0BBA" w14:textId="77777777" w:rsidR="007C1A22" w:rsidRPr="00D61E32" w:rsidRDefault="007C1A22" w:rsidP="007C1A22">
            <w:pPr>
              <w:spacing w:after="0" w:line="240" w:lineRule="auto"/>
              <w:rPr>
                <w:rFonts w:ascii="Century Gothic" w:eastAsia="Times New Roman" w:hAnsi="Century Gothic" w:cs="Arial"/>
                <w:iCs/>
              </w:rPr>
            </w:pPr>
          </w:p>
          <w:p w14:paraId="208DD256"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Cigna maintains an open network and will contract with any MH/SUD or M/S provider or facility. Cigna does not limit parties with whom it will contract and negotiate rates. The Behavioral Health medical cost budget and M/S cost budgets are established using the same methodology including budgetary considerations for known contractual commitments as well as renegotiation of existing contracts. Additionally new negotiations are reviewed </w:t>
            </w:r>
            <w:proofErr w:type="gramStart"/>
            <w:r w:rsidRPr="00D61E32">
              <w:rPr>
                <w:rFonts w:ascii="Century Gothic" w:eastAsia="Times New Roman" w:hAnsi="Century Gothic" w:cs="Arial"/>
                <w:iCs/>
              </w:rPr>
              <w:t>in order to</w:t>
            </w:r>
            <w:proofErr w:type="gramEnd"/>
            <w:r w:rsidRPr="00D61E32">
              <w:rPr>
                <w:rFonts w:ascii="Century Gothic" w:eastAsia="Times New Roman" w:hAnsi="Century Gothic" w:cs="Arial"/>
                <w:iCs/>
              </w:rPr>
              <w:t xml:space="preserve"> set budget metrics. Cigna does negotiate rates with parties that represent groups or sets of providers. There is no difference in how this process is handled for MH/SUD vs. M/S providers or representatives. When applicable, Cigna uses the same Consultant Agreement for both MH/SUD and M/S. </w:t>
            </w:r>
          </w:p>
          <w:p w14:paraId="34C4DA5B"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For parties representing groups or sets of providers, Cigna requires each authorized representative to complete and sign a questionnaire and confidentiality agreement </w:t>
            </w:r>
            <w:proofErr w:type="gramStart"/>
            <w:r w:rsidRPr="00D61E32">
              <w:rPr>
                <w:rFonts w:ascii="Century Gothic" w:eastAsia="Times New Roman" w:hAnsi="Century Gothic" w:cs="Arial"/>
                <w:iCs/>
              </w:rPr>
              <w:t>in order to</w:t>
            </w:r>
            <w:proofErr w:type="gramEnd"/>
            <w:r w:rsidRPr="00D61E32">
              <w:rPr>
                <w:rFonts w:ascii="Century Gothic" w:eastAsia="Times New Roman" w:hAnsi="Century Gothic" w:cs="Arial"/>
                <w:iCs/>
              </w:rPr>
              <w:t xml:space="preserve"> participate in contract discussions, contract disputes and/or payment disputes.   Based on the questionnaire, answers to these questions will be reviewed by Cigna for a determination of Cigna’s willingness to proceed with this representative.  This process is followed for both M/S and MH/SUD providers.</w:t>
            </w:r>
          </w:p>
          <w:p w14:paraId="7EF9ADB2" w14:textId="77777777" w:rsidR="007C1A22" w:rsidRPr="00D61E32" w:rsidRDefault="007C1A22" w:rsidP="007C1A22">
            <w:pPr>
              <w:spacing w:after="0" w:line="240" w:lineRule="auto"/>
              <w:rPr>
                <w:rFonts w:ascii="Century Gothic" w:eastAsia="Times New Roman" w:hAnsi="Century Gothic" w:cs="Arial"/>
                <w:b/>
                <w:bCs/>
                <w:iCs/>
              </w:rPr>
            </w:pPr>
          </w:p>
        </w:tc>
        <w:tc>
          <w:tcPr>
            <w:tcW w:w="2524" w:type="pct"/>
            <w:tcBorders>
              <w:top w:val="single" w:sz="4" w:space="0" w:color="auto"/>
              <w:left w:val="single" w:sz="4" w:space="0" w:color="auto"/>
              <w:bottom w:val="single" w:sz="4" w:space="0" w:color="auto"/>
              <w:right w:val="single" w:sz="4" w:space="0" w:color="auto"/>
            </w:tcBorders>
          </w:tcPr>
          <w:p w14:paraId="4B89814C" w14:textId="77777777" w:rsidR="007C1A22" w:rsidRPr="00D61E32" w:rsidRDefault="007C1A22" w:rsidP="007C1A22">
            <w:pPr>
              <w:spacing w:after="0" w:line="240" w:lineRule="auto"/>
              <w:rPr>
                <w:rFonts w:ascii="Century Gothic" w:eastAsia="Times New Roman" w:hAnsi="Century Gothic" w:cs="Arial"/>
                <w:b/>
                <w:bCs/>
                <w:iCs/>
              </w:rPr>
            </w:pPr>
          </w:p>
          <w:p w14:paraId="75320F5B" w14:textId="77777777" w:rsidR="007C1A22" w:rsidRPr="00D61E32" w:rsidRDefault="007C1A22" w:rsidP="007C1A22">
            <w:pPr>
              <w:spacing w:after="0" w:line="240" w:lineRule="auto"/>
              <w:rPr>
                <w:rFonts w:ascii="Century Gothic" w:eastAsia="Times New Roman" w:hAnsi="Century Gothic" w:cs="Arial"/>
                <w:b/>
                <w:bCs/>
                <w:iCs/>
              </w:rPr>
            </w:pPr>
            <w:r w:rsidRPr="00D61E32">
              <w:rPr>
                <w:rFonts w:ascii="Century Gothic" w:eastAsia="Times New Roman" w:hAnsi="Century Gothic" w:cs="Arial"/>
                <w:iCs/>
              </w:rPr>
              <w:t xml:space="preserve">Same as M/S </w:t>
            </w:r>
          </w:p>
          <w:p w14:paraId="1C841298" w14:textId="77777777" w:rsidR="007C1A22" w:rsidRPr="00D61E32" w:rsidRDefault="007C1A22" w:rsidP="007C1A22">
            <w:pPr>
              <w:spacing w:after="0" w:line="240" w:lineRule="auto"/>
              <w:rPr>
                <w:rFonts w:ascii="Century Gothic" w:eastAsia="Times New Roman" w:hAnsi="Century Gothic" w:cs="Arial"/>
                <w:iCs/>
              </w:rPr>
            </w:pPr>
          </w:p>
          <w:p w14:paraId="11CA0080" w14:textId="77777777" w:rsidR="007C1A22" w:rsidRPr="00D61E32" w:rsidRDefault="007C1A22" w:rsidP="007C1A22">
            <w:pPr>
              <w:spacing w:after="0" w:line="240" w:lineRule="auto"/>
              <w:rPr>
                <w:rFonts w:ascii="Century Gothic" w:eastAsia="Times New Roman" w:hAnsi="Century Gothic" w:cs="Arial"/>
                <w:b/>
                <w:bCs/>
                <w:iCs/>
              </w:rPr>
            </w:pPr>
          </w:p>
        </w:tc>
      </w:tr>
      <w:tr w:rsidR="007C1A22" w:rsidRPr="00D61E32" w14:paraId="583DC249" w14:textId="77777777" w:rsidTr="004D49C2">
        <w:trPr>
          <w:trHeight w:val="1430"/>
        </w:trPr>
        <w:tc>
          <w:tcPr>
            <w:tcW w:w="2476" w:type="pct"/>
            <w:tcBorders>
              <w:top w:val="single" w:sz="4" w:space="0" w:color="auto"/>
              <w:left w:val="single" w:sz="4" w:space="0" w:color="auto"/>
              <w:bottom w:val="single" w:sz="4" w:space="0" w:color="auto"/>
              <w:right w:val="single" w:sz="4" w:space="0" w:color="auto"/>
            </w:tcBorders>
          </w:tcPr>
          <w:p w14:paraId="4E507CC1" w14:textId="77777777" w:rsidR="007C1A22" w:rsidRPr="00D61E32" w:rsidRDefault="007C1A22" w:rsidP="007C1A22">
            <w:pPr>
              <w:spacing w:after="0" w:line="240" w:lineRule="auto"/>
              <w:rPr>
                <w:rFonts w:ascii="Century Gothic" w:eastAsia="Times New Roman" w:hAnsi="Century Gothic" w:cs="Arial"/>
                <w:b/>
                <w:bCs/>
                <w:iCs/>
              </w:rPr>
            </w:pPr>
            <w:r w:rsidRPr="00D61E32">
              <w:rPr>
                <w:rFonts w:ascii="Century Gothic" w:eastAsia="Times New Roman" w:hAnsi="Century Gothic" w:cs="Arial"/>
                <w:b/>
                <w:bCs/>
                <w:iCs/>
              </w:rPr>
              <w:t>Network Adequacy and Credentialing:</w:t>
            </w:r>
          </w:p>
          <w:p w14:paraId="00CED7BA" w14:textId="77777777" w:rsidR="007C1A22" w:rsidRPr="00D61E32" w:rsidRDefault="007C1A22" w:rsidP="007C1A22">
            <w:pPr>
              <w:spacing w:after="0" w:line="240" w:lineRule="auto"/>
              <w:rPr>
                <w:rFonts w:ascii="Century Gothic" w:eastAsia="Times New Roman" w:hAnsi="Century Gothic" w:cs="Arial"/>
                <w:b/>
                <w:bCs/>
                <w:iCs/>
              </w:rPr>
            </w:pPr>
          </w:p>
          <w:p w14:paraId="1A36A55B"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 maintains an open network for both M/S and MH/SUD Network Providers, such that new providers looking to contract with Cigna will be admitted if they meet Cigna's Network Provider admission criteria (“Credentialing Criteria”).  </w:t>
            </w:r>
            <w:proofErr w:type="spellStart"/>
            <w:r w:rsidRPr="00D61E32">
              <w:rPr>
                <w:rFonts w:ascii="Century Gothic" w:eastAsia="Times New Roman" w:hAnsi="Century Gothic" w:cs="Arial"/>
              </w:rPr>
              <w:t>Evernorth</w:t>
            </w:r>
            <w:proofErr w:type="spellEnd"/>
            <w:r w:rsidRPr="00D61E32">
              <w:rPr>
                <w:rFonts w:ascii="Century Gothic" w:eastAsia="Times New Roman" w:hAnsi="Century Gothic" w:cs="Arial"/>
              </w:rPr>
              <w:t xml:space="preserve"> maintains NCQA Managed Behavioral Healthcare Organization (“MBHO”) Accreditation and conducts an annual directory audit which includes a valid random sample to ensure the network and directory meet all NCQA MBHO accreditation requirements.  MBHO Accreditation includes standards for Behavioral Health Care, Credentialing/Re-credentialing, Provider Accessibility and Availability Monitoring, and Provider Contracting and Satisfaction. Cigna conducts quality management activities for both medical and behavioral healthcare products. Additionally, NCQA performs an audit of a random sample of denials, appeals, case management, and credentialing cases (approximately 350 records). </w:t>
            </w:r>
          </w:p>
          <w:p w14:paraId="684E207A"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CHLIC also maintains NCQA accreditation, which requires a comprehensive and rigorous audit of the Quality Program documents, policies, and other materials regarding Quality Management, Utilization Management, Case Management, Care Coordination, Credentialing, and Members’ Rights &amp; Responsibilities (approximately 250 documents). This evidence spans a period of 2 </w:t>
            </w:r>
            <w:proofErr w:type="gramStart"/>
            <w:r w:rsidRPr="00D61E32">
              <w:rPr>
                <w:rFonts w:ascii="Century Gothic" w:eastAsia="Times New Roman" w:hAnsi="Century Gothic" w:cs="Arial"/>
              </w:rPr>
              <w:t>years</w:t>
            </w:r>
            <w:proofErr w:type="gramEnd"/>
            <w:r w:rsidRPr="00D61E32">
              <w:rPr>
                <w:rFonts w:ascii="Century Gothic" w:eastAsia="Times New Roman" w:hAnsi="Century Gothic" w:cs="Arial"/>
              </w:rPr>
              <w:t xml:space="preserve"> and the majority of the evidence has to be reviewed and approved by our Medical Management Quality Committee (“MMQC”), Integrated Health Management Quality Committee (“IHMQC”), and Clinical Advisory Committee (“CAC”). Additionally, NCQA performs an audit of a random sample of denials, appeals, case management, and credentialing cases (approximately 350 records).</w:t>
            </w:r>
          </w:p>
          <w:p w14:paraId="0CD791D9"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Cigna maintains one credentialing committee for the review of providers entering the network. Cigna does not routinely track credentialing exceptions for either M/S or MH/SUD Network Providers. Network Providers are re-credentialed on a three-year cycle as required by NCQA.</w:t>
            </w:r>
          </w:p>
          <w:p w14:paraId="1A8000BF"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NCQA Accreditation standards require that the organization maintain sufficient numbers and types of behavioral health, primary </w:t>
            </w:r>
            <w:proofErr w:type="gramStart"/>
            <w:r w:rsidRPr="00D61E32">
              <w:rPr>
                <w:rFonts w:ascii="Century Gothic" w:eastAsia="Times New Roman" w:hAnsi="Century Gothic" w:cs="Arial"/>
              </w:rPr>
              <w:t>care</w:t>
            </w:r>
            <w:proofErr w:type="gramEnd"/>
            <w:r w:rsidRPr="00D61E32">
              <w:rPr>
                <w:rFonts w:ascii="Century Gothic" w:eastAsia="Times New Roman" w:hAnsi="Century Gothic" w:cs="Arial"/>
              </w:rPr>
              <w:t xml:space="preserve"> and specialty care practitioners in its network. NCQA does not specifically dictate what the appropriate number/type should be. As a result, Cigna conducts </w:t>
            </w:r>
            <w:proofErr w:type="gramStart"/>
            <w:r w:rsidRPr="00D61E32">
              <w:rPr>
                <w:rFonts w:ascii="Century Gothic" w:eastAsia="Times New Roman" w:hAnsi="Century Gothic" w:cs="Arial"/>
              </w:rPr>
              <w:t>review</w:t>
            </w:r>
            <w:proofErr w:type="gramEnd"/>
            <w:r w:rsidRPr="00D61E32">
              <w:rPr>
                <w:rFonts w:ascii="Century Gothic" w:eastAsia="Times New Roman" w:hAnsi="Century Gothic" w:cs="Arial"/>
              </w:rPr>
              <w:t xml:space="preserve"> of its Network Adequacy standards at least annually to ensure requirements are sufficient for customer needs. Such analysis reviews external benchmarks (e.g., state laws or CMS requirements) as well as internal review of supply/demand and network adequacy enrollee complaints. Network adequacy analysis </w:t>
            </w:r>
            <w:proofErr w:type="gramStart"/>
            <w:r w:rsidRPr="00D61E32">
              <w:rPr>
                <w:rFonts w:ascii="Century Gothic" w:eastAsia="Times New Roman" w:hAnsi="Century Gothic" w:cs="Arial"/>
              </w:rPr>
              <w:t>considers:</w:t>
            </w:r>
            <w:proofErr w:type="gramEnd"/>
            <w:r w:rsidRPr="00D61E32">
              <w:rPr>
                <w:rFonts w:ascii="Century Gothic" w:eastAsia="Times New Roman" w:hAnsi="Century Gothic" w:cs="Arial"/>
              </w:rPr>
              <w:t xml:space="preserve"> geographic area, time/distance standards, provider/enrollee ratio, provider type and/or specialty and supply/demand. </w:t>
            </w:r>
          </w:p>
          <w:p w14:paraId="6A809295"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Cigna’s Quality Programs and Accreditation team defines quality monitoring standards and provides guidance in initiating improvement initiatives when deficiencies are identified. Quality studies are designed and documented to </w:t>
            </w:r>
            <w:proofErr w:type="gramStart"/>
            <w:r w:rsidRPr="00D61E32">
              <w:rPr>
                <w:rFonts w:ascii="Century Gothic" w:eastAsia="Times New Roman" w:hAnsi="Century Gothic" w:cs="Arial"/>
              </w:rPr>
              <w:t>objectively and systematically monitor, evaluate and improve the quality and appropriateness of care and service</w:t>
            </w:r>
            <w:proofErr w:type="gramEnd"/>
            <w:r w:rsidRPr="00D61E32">
              <w:rPr>
                <w:rFonts w:ascii="Century Gothic" w:eastAsia="Times New Roman" w:hAnsi="Century Gothic" w:cs="Arial"/>
              </w:rPr>
              <w:t>. Monitoring and driving improvements in quality of care and service to our customers is an integral component of Behavioral Accreditation, which reflects the Cigna commitment to continuous quality improvement throughout the organization.</w:t>
            </w:r>
          </w:p>
          <w:p w14:paraId="2D5D5D7A"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For both its M/S provider network and its MH/SUD provider network, Cigna establishes and monitors clinically appropriate: (1) provider to customer ratios by provider type and/or specialty in urban, suburban and rural geographic regions; (2) time/distance standards for accessing the various provider types and/or specialties located within urban, suburban and rural geographic regions; and (3) appointment wait times for emergency care, urgent care and routine outpatient care for the various provider types and/or specialties, as prescribed by NCQA.</w:t>
            </w:r>
          </w:p>
          <w:p w14:paraId="7FF2DD44"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Assessing supply and demand of M/S and MH/SUD facilities are based upon the same indicators including, but not limited to, NCQA and NAIC network adequacy and access standards focused on distribution of provider types within geographic regions (i.e. zip codes);  plan population density within geographic regions (i.e. zip codes); time and/or distance to access provider type within urban, suburban and rural areas; appointment wait times for emergent, urgent and routine visits;  customer satisfaction surveys; and customer complaint data.</w:t>
            </w:r>
          </w:p>
          <w:p w14:paraId="09668D1A"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Ratio of Providers to Customers: Providers to customer ratios are normally calculated with the Provider count constant at 1, where the Provider count is based on unique Provider and the Customer count is based on customer’s home zip code (students may also provide their school </w:t>
            </w:r>
            <w:proofErr w:type="spellStart"/>
            <w:r w:rsidRPr="00D61E32">
              <w:rPr>
                <w:rFonts w:ascii="Century Gothic" w:eastAsia="Times New Roman" w:hAnsi="Century Gothic" w:cs="Arial"/>
              </w:rPr>
              <w:t>zipcode</w:t>
            </w:r>
            <w:proofErr w:type="spellEnd"/>
            <w:r w:rsidRPr="00D61E32">
              <w:rPr>
                <w:rFonts w:ascii="Century Gothic" w:eastAsia="Times New Roman" w:hAnsi="Century Gothic" w:cs="Arial"/>
              </w:rPr>
              <w:t xml:space="preserve"> at the time of enrollment). To convert to a ratio in this format, Cigna divides the customer count by the Provider count. For example, for an area with 3,000 customers and 30 Providers, – the ratio would be 1:100. </w:t>
            </w:r>
          </w:p>
          <w:p w14:paraId="30C143C7"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In remote or rural areas, occasionally geographic availability guidelines are not able to be met due to lack of, or absence of, qualified Practitioners and/or Providers. The organization may need to alter the standard based on local availability. Supporting documentation that such </w:t>
            </w:r>
            <w:proofErr w:type="gramStart"/>
            <w:r w:rsidRPr="00D61E32">
              <w:rPr>
                <w:rFonts w:ascii="Century Gothic" w:eastAsia="Times New Roman" w:hAnsi="Century Gothic" w:cs="Arial"/>
              </w:rPr>
              <w:t>situation</w:t>
            </w:r>
            <w:proofErr w:type="gramEnd"/>
            <w:r w:rsidRPr="00D61E32">
              <w:rPr>
                <w:rFonts w:ascii="Century Gothic" w:eastAsia="Times New Roman" w:hAnsi="Century Gothic" w:cs="Arial"/>
              </w:rPr>
              <w:t xml:space="preserve"> exists must be supplied along with the proposed guideline changes to the appropriate Quality Committee for approval. Annually, the Quality Management team reviews and assesses the behavioral health care professional network to determine if goals are met and if the network is robust enough to meet the needs of its customers. NCQA requires certain measures to assess availability for urban/suburban, rural, and ratios (behavioral health care professional to customers) across its networks. Likewise, the Network team reviews and assesses the medical health care professional network to determine if goals are met in 90% of the zip codes within the service area for each provider specialty category for PCPs, High Volume Specialist, High Impact Specialists, and Hospitals.</w:t>
            </w:r>
          </w:p>
        </w:tc>
        <w:tc>
          <w:tcPr>
            <w:tcW w:w="2524" w:type="pct"/>
            <w:tcBorders>
              <w:top w:val="single" w:sz="4" w:space="0" w:color="auto"/>
              <w:left w:val="single" w:sz="4" w:space="0" w:color="auto"/>
              <w:bottom w:val="single" w:sz="4" w:space="0" w:color="auto"/>
              <w:right w:val="single" w:sz="4" w:space="0" w:color="auto"/>
            </w:tcBorders>
          </w:tcPr>
          <w:p w14:paraId="01520768" w14:textId="77777777" w:rsidR="007C1A22" w:rsidRPr="00D61E32" w:rsidRDefault="007C1A22" w:rsidP="007C1A22">
            <w:pPr>
              <w:spacing w:after="0" w:line="240" w:lineRule="auto"/>
              <w:rPr>
                <w:rFonts w:ascii="Century Gothic" w:eastAsia="Times New Roman" w:hAnsi="Century Gothic" w:cs="Arial"/>
                <w:b/>
                <w:bCs/>
                <w:iCs/>
              </w:rPr>
            </w:pPr>
            <w:r w:rsidRPr="00D61E32">
              <w:rPr>
                <w:rFonts w:ascii="Century Gothic" w:eastAsia="Times New Roman" w:hAnsi="Century Gothic" w:cs="Arial"/>
                <w:b/>
                <w:bCs/>
                <w:iCs/>
              </w:rPr>
              <w:t>Network Adequacy and Credentialing:</w:t>
            </w:r>
          </w:p>
          <w:p w14:paraId="42F2D9A7" w14:textId="77777777" w:rsidR="007C1A22" w:rsidRPr="00D61E32" w:rsidRDefault="007C1A22" w:rsidP="007C1A22">
            <w:pPr>
              <w:spacing w:after="0" w:line="240" w:lineRule="auto"/>
              <w:rPr>
                <w:rFonts w:ascii="Century Gothic" w:eastAsia="Times New Roman" w:hAnsi="Century Gothic" w:cs="Arial"/>
                <w:b/>
                <w:bCs/>
                <w:iCs/>
              </w:rPr>
            </w:pPr>
          </w:p>
          <w:p w14:paraId="7994B056"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Same as M/S </w:t>
            </w:r>
          </w:p>
        </w:tc>
      </w:tr>
      <w:tr w:rsidR="007C1A22" w:rsidRPr="00D61E32" w14:paraId="21432328" w14:textId="77777777" w:rsidTr="004D49C2">
        <w:trPr>
          <w:trHeight w:val="1430"/>
        </w:trPr>
        <w:tc>
          <w:tcPr>
            <w:tcW w:w="2476" w:type="pct"/>
            <w:tcBorders>
              <w:top w:val="single" w:sz="4" w:space="0" w:color="auto"/>
              <w:left w:val="single" w:sz="4" w:space="0" w:color="auto"/>
              <w:bottom w:val="single" w:sz="4" w:space="0" w:color="auto"/>
              <w:right w:val="single" w:sz="4" w:space="0" w:color="auto"/>
            </w:tcBorders>
          </w:tcPr>
          <w:p w14:paraId="54534BDA"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Reimbursement:</w:t>
            </w:r>
          </w:p>
          <w:p w14:paraId="64D2822C" w14:textId="77777777" w:rsidR="007C1A22" w:rsidRPr="00D61E32" w:rsidRDefault="007C1A22" w:rsidP="007C1A22">
            <w:pPr>
              <w:spacing w:after="240" w:line="264" w:lineRule="auto"/>
              <w:rPr>
                <w:rFonts w:ascii="Century Gothic" w:eastAsia="Calibri" w:hAnsi="Century Gothic" w:cs="Arial"/>
              </w:rPr>
            </w:pPr>
            <w:r w:rsidRPr="00D61E32">
              <w:rPr>
                <w:rFonts w:ascii="Century Gothic" w:eastAsia="Calibri" w:hAnsi="Century Gothic" w:cs="Arial"/>
              </w:rPr>
              <w:t xml:space="preserve">Cigna's in-network provider reimbursement methodology, exclusive of DRG reimbursement is based upon factors including, but not limited </w:t>
            </w:r>
            <w:proofErr w:type="gramStart"/>
            <w:r w:rsidRPr="00D61E32">
              <w:rPr>
                <w:rFonts w:ascii="Century Gothic" w:eastAsia="Calibri" w:hAnsi="Century Gothic" w:cs="Arial"/>
              </w:rPr>
              <w:t>to:</w:t>
            </w:r>
            <w:proofErr w:type="gramEnd"/>
            <w:r w:rsidRPr="00D61E32">
              <w:rPr>
                <w:rFonts w:ascii="Century Gothic" w:eastAsia="Calibri" w:hAnsi="Century Gothic" w:cs="Arial"/>
              </w:rPr>
              <w:t xml:space="preserve">  geographic market (i.e. market rate and payment type for provider type and/or specialty); type of provider (i.e. hospital, clinic and practitioner) and/or specialty; supply of provider type and/or specialty; network adequacy and current Medicare reimbursement rates. All staff participating in a contract negotiation are trained on internal Cigna policies and </w:t>
            </w:r>
            <w:proofErr w:type="gramStart"/>
            <w:r w:rsidRPr="00D61E32">
              <w:rPr>
                <w:rFonts w:ascii="Century Gothic" w:eastAsia="Calibri" w:hAnsi="Century Gothic" w:cs="Arial"/>
              </w:rPr>
              <w:t>procedures, and</w:t>
            </w:r>
            <w:proofErr w:type="gramEnd"/>
            <w:r w:rsidRPr="00D61E32">
              <w:rPr>
                <w:rFonts w:ascii="Century Gothic" w:eastAsia="Calibri" w:hAnsi="Century Gothic" w:cs="Arial"/>
              </w:rPr>
              <w:t xml:space="preserve"> have access to necessary tools to negotiate and develop appropriate reimbursement rates based on standard methodologies, provider specific reimbursement requests and escalate for justification and approval of any deviations.</w:t>
            </w:r>
          </w:p>
          <w:p w14:paraId="7AD8C5AC" w14:textId="77777777" w:rsidR="007C1A22" w:rsidRPr="00D61E32" w:rsidRDefault="007C1A22" w:rsidP="007C1A22">
            <w:pPr>
              <w:spacing w:after="240" w:line="264" w:lineRule="auto"/>
              <w:rPr>
                <w:rFonts w:ascii="Century Gothic" w:eastAsia="Calibri" w:hAnsi="Century Gothic" w:cs="Arial"/>
              </w:rPr>
            </w:pPr>
            <w:r w:rsidRPr="00D61E32">
              <w:rPr>
                <w:rFonts w:ascii="Century Gothic" w:eastAsia="Calibri" w:hAnsi="Century Gothic" w:cs="Arial"/>
              </w:rPr>
              <w:t xml:space="preserve">Concurrent with the negotiation or immediately thereafter, provider credentialing will be completed by Cigna (or other such delegate of credentialing).  The provider must successfully meet Cigna credentialing requirements before the contract may be fully executed. CAQH is utilized to obtain most individual practitioner credentialing related information, expediting the credentialing process while Cigna adhering to all state credentialing review timelines. Upon finalization and successful credentialing, the provider agreement is executed and their participation in the Cigna network(s) begins on the applicable effective date. Specific Factors triggering the application of Network Adequacy standards, credentialing, and reimbursement are detailed below.  </w:t>
            </w:r>
          </w:p>
        </w:tc>
        <w:tc>
          <w:tcPr>
            <w:tcW w:w="2524" w:type="pct"/>
            <w:tcBorders>
              <w:top w:val="single" w:sz="4" w:space="0" w:color="auto"/>
              <w:left w:val="single" w:sz="4" w:space="0" w:color="auto"/>
              <w:bottom w:val="single" w:sz="4" w:space="0" w:color="auto"/>
              <w:right w:val="single" w:sz="4" w:space="0" w:color="auto"/>
            </w:tcBorders>
          </w:tcPr>
          <w:p w14:paraId="692442B4"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Reimbursement:</w:t>
            </w:r>
          </w:p>
          <w:p w14:paraId="7769648B" w14:textId="77777777" w:rsidR="007C1A22" w:rsidRPr="00D61E32" w:rsidRDefault="007C1A22" w:rsidP="007C1A22">
            <w:pPr>
              <w:spacing w:after="0" w:line="240" w:lineRule="auto"/>
              <w:rPr>
                <w:rFonts w:ascii="Century Gothic" w:eastAsia="Times New Roman" w:hAnsi="Century Gothic" w:cs="Arial"/>
                <w:bCs/>
              </w:rPr>
            </w:pPr>
            <w:r w:rsidRPr="00D61E32">
              <w:rPr>
                <w:rFonts w:ascii="Century Gothic" w:eastAsia="Times New Roman" w:hAnsi="Century Gothic" w:cs="Arial"/>
                <w:bCs/>
              </w:rPr>
              <w:t xml:space="preserve">Same as M/S </w:t>
            </w:r>
          </w:p>
        </w:tc>
      </w:tr>
      <w:tr w:rsidR="007C1A22" w:rsidRPr="00D61E32" w14:paraId="30279703" w14:textId="77777777" w:rsidTr="004D49C2">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27A87659" w14:textId="77777777" w:rsidR="007C1A22" w:rsidRPr="00D61E32" w:rsidRDefault="007C1A22" w:rsidP="007C1A22">
            <w:pPr>
              <w:spacing w:after="0" w:line="240" w:lineRule="auto"/>
              <w:rPr>
                <w:rFonts w:ascii="Century Gothic" w:eastAsia="Times New Roman" w:hAnsi="Century Gothic" w:cs="Arial"/>
                <w:b/>
                <w:bCs/>
              </w:rPr>
            </w:pPr>
          </w:p>
          <w:p w14:paraId="04D0EC62"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Step 3 – Identify the evidentiary standards used for the factors identified in Step 2, when applicable, provided that every factor shall be defined, and any other source or evidence relied upon to design and apply the NQTL to mental health or substance use disorder benefits and medical or surgical benefits.</w:t>
            </w:r>
          </w:p>
          <w:p w14:paraId="5E0919FB" w14:textId="77777777" w:rsidR="007C1A22" w:rsidRPr="00D61E32" w:rsidRDefault="007C1A22" w:rsidP="007C1A22">
            <w:pPr>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Analyses should explain whether any factors were given more weight than others and the reason(s) for doing so, including an evaluation of any specific data used in the determination.</w:t>
            </w:r>
          </w:p>
          <w:p w14:paraId="1E369CBC" w14:textId="77777777" w:rsidR="007C1A22" w:rsidRPr="00D61E32" w:rsidRDefault="007C1A22" w:rsidP="007C1A22">
            <w:pPr>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To the extent the plan or issuer defines any of the factors, evidentiary standards, strategies, or processes in a quantitative manner, it must include the precise definitions used and any supporting sources.</w:t>
            </w:r>
          </w:p>
        </w:tc>
      </w:tr>
      <w:tr w:rsidR="004D49C2" w:rsidRPr="00D61E32" w14:paraId="170EA4F6" w14:textId="77777777" w:rsidTr="004D49C2">
        <w:trPr>
          <w:trHeight w:val="620"/>
        </w:trPr>
        <w:tc>
          <w:tcPr>
            <w:tcW w:w="2476" w:type="pct"/>
            <w:tcBorders>
              <w:top w:val="single" w:sz="4" w:space="0" w:color="auto"/>
              <w:left w:val="single" w:sz="4" w:space="0" w:color="auto"/>
              <w:bottom w:val="single" w:sz="4" w:space="0" w:color="auto"/>
              <w:right w:val="single" w:sz="4" w:space="0" w:color="auto"/>
            </w:tcBorders>
            <w:shd w:val="clear" w:color="auto" w:fill="DBE5F1"/>
            <w:hideMark/>
          </w:tcPr>
          <w:p w14:paraId="79D92933" w14:textId="77777777" w:rsidR="007C1A22" w:rsidRPr="00D61E32" w:rsidRDefault="007C1A22" w:rsidP="007C1A22">
            <w:pPr>
              <w:spacing w:after="0" w:line="240" w:lineRule="auto"/>
              <w:rPr>
                <w:rFonts w:ascii="Century Gothic" w:eastAsia="Times New Roman" w:hAnsi="Century Gothic" w:cs="Arial"/>
                <w:u w:val="single"/>
              </w:rPr>
            </w:pPr>
            <w:r w:rsidRPr="00D61E32">
              <w:rPr>
                <w:rFonts w:ascii="Century Gothic" w:eastAsia="Times New Roman" w:hAnsi="Century Gothic" w:cs="Arial"/>
                <w:b/>
                <w:u w:val="single"/>
              </w:rPr>
              <w:t>Medical/Surgical</w:t>
            </w:r>
            <w:r w:rsidRPr="00D61E32">
              <w:rPr>
                <w:rFonts w:ascii="Century Gothic" w:eastAsia="Times New Roman" w:hAnsi="Century Gothic" w:cs="Arial"/>
                <w:u w:val="single"/>
              </w:rPr>
              <w:t>:</w:t>
            </w:r>
          </w:p>
        </w:tc>
        <w:tc>
          <w:tcPr>
            <w:tcW w:w="2524" w:type="pct"/>
            <w:tcBorders>
              <w:top w:val="single" w:sz="4" w:space="0" w:color="auto"/>
              <w:left w:val="single" w:sz="4" w:space="0" w:color="auto"/>
              <w:bottom w:val="single" w:sz="4" w:space="0" w:color="auto"/>
              <w:right w:val="single" w:sz="4" w:space="0" w:color="auto"/>
            </w:tcBorders>
            <w:shd w:val="clear" w:color="auto" w:fill="DBE5F1"/>
            <w:hideMark/>
          </w:tcPr>
          <w:p w14:paraId="1B0E84F0" w14:textId="77777777" w:rsidR="007C1A22" w:rsidRPr="00D61E32" w:rsidRDefault="007C1A22" w:rsidP="007C1A22">
            <w:pPr>
              <w:spacing w:after="0" w:line="240" w:lineRule="auto"/>
              <w:rPr>
                <w:rFonts w:ascii="Century Gothic" w:eastAsia="Times New Roman" w:hAnsi="Century Gothic" w:cs="Arial"/>
                <w:u w:val="single"/>
              </w:rPr>
            </w:pPr>
            <w:r w:rsidRPr="00D61E32">
              <w:rPr>
                <w:rFonts w:ascii="Century Gothic" w:eastAsia="Times New Roman" w:hAnsi="Century Gothic" w:cs="Arial"/>
                <w:b/>
                <w:u w:val="single"/>
              </w:rPr>
              <w:t>MH/SUD</w:t>
            </w:r>
            <w:r w:rsidRPr="00D61E32">
              <w:rPr>
                <w:rFonts w:ascii="Century Gothic" w:eastAsia="Times New Roman" w:hAnsi="Century Gothic" w:cs="Arial"/>
                <w:u w:val="single"/>
              </w:rPr>
              <w:t>:</w:t>
            </w:r>
          </w:p>
        </w:tc>
      </w:tr>
      <w:tr w:rsidR="007C1A22" w:rsidRPr="00D61E32" w14:paraId="00990A12" w14:textId="77777777" w:rsidTr="004D49C2">
        <w:trPr>
          <w:trHeight w:val="620"/>
        </w:trPr>
        <w:tc>
          <w:tcPr>
            <w:tcW w:w="2476" w:type="pct"/>
            <w:tcBorders>
              <w:top w:val="single" w:sz="4" w:space="0" w:color="auto"/>
              <w:left w:val="single" w:sz="4" w:space="0" w:color="auto"/>
              <w:bottom w:val="single" w:sz="4" w:space="0" w:color="auto"/>
              <w:right w:val="single" w:sz="4" w:space="0" w:color="auto"/>
            </w:tcBorders>
          </w:tcPr>
          <w:p w14:paraId="27DB2691"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 xml:space="preserve">Network adequacy: </w:t>
            </w:r>
          </w:p>
          <w:p w14:paraId="089375F5"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 considers the composition of its current medical/surgical network providers and MH/SUD network providers by provider type and/or specialty, in addition to census (membership) data, to ensure it maintains an adequate medical/surgical provider network and an adequate MH/SUD provider network to meet the clinical needs of its customers.  Cigna conducts oversight and monitoring of the adequacy of its M/S provider network(s) and MH/SUD provider network to assess whether they are meeting its internal and regulatory driven network access standards.  When access to care standards </w:t>
            </w:r>
            <w:proofErr w:type="gramStart"/>
            <w:r w:rsidRPr="00D61E32">
              <w:rPr>
                <w:rFonts w:ascii="Century Gothic" w:eastAsia="Times New Roman" w:hAnsi="Century Gothic" w:cs="Arial"/>
              </w:rPr>
              <w:t>are</w:t>
            </w:r>
            <w:proofErr w:type="gramEnd"/>
            <w:r w:rsidRPr="00D61E32">
              <w:rPr>
                <w:rFonts w:ascii="Century Gothic" w:eastAsia="Times New Roman" w:hAnsi="Century Gothic" w:cs="Arial"/>
              </w:rPr>
              <w:t xml:space="preserve"> not met, Cigna engages in active recruitment of the relevant provider type and/or specialty at issue.</w:t>
            </w:r>
          </w:p>
          <w:p w14:paraId="3583A488"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 conducts an annual analysis of its network adequacy requirements, and Cigna's medical and behavioral networks meet the company’s established access to care standards in urban, suburban, and rural areas. In plans without an out of network benefit, in the event an enrollee cannot secure a provider or appointment within a reasonable time/distance or with reasonable appointment availability </w:t>
            </w:r>
            <w:proofErr w:type="spellStart"/>
            <w:r w:rsidRPr="00D61E32">
              <w:rPr>
                <w:rFonts w:ascii="Century Gothic" w:eastAsia="Times New Roman" w:hAnsi="Century Gothic" w:cs="Arial"/>
              </w:rPr>
              <w:t>Evernorth</w:t>
            </w:r>
            <w:proofErr w:type="spellEnd"/>
            <w:r w:rsidRPr="00D61E32">
              <w:rPr>
                <w:rFonts w:ascii="Century Gothic" w:eastAsia="Times New Roman" w:hAnsi="Century Gothic" w:cs="Arial"/>
              </w:rPr>
              <w:t xml:space="preserve"> Behavioral Health (“EBH”) will authorize out-of-network services at the in-network benefit level. Enrollees </w:t>
            </w:r>
            <w:proofErr w:type="gramStart"/>
            <w:r w:rsidRPr="00D61E32">
              <w:rPr>
                <w:rFonts w:ascii="Century Gothic" w:eastAsia="Times New Roman" w:hAnsi="Century Gothic" w:cs="Arial"/>
              </w:rPr>
              <w:t>are able to</w:t>
            </w:r>
            <w:proofErr w:type="gramEnd"/>
            <w:r w:rsidRPr="00D61E32">
              <w:rPr>
                <w:rFonts w:ascii="Century Gothic" w:eastAsia="Times New Roman" w:hAnsi="Century Gothic" w:cs="Arial"/>
              </w:rPr>
              <w:t xml:space="preserve"> receive assistance in locating a provider or appointment by contacting the phone number on the back of their ID card. In the event the enrollee and/or a Cigna representative cannot locate a provider/appointment within the acceptable time/distance standards a request can be made for out-of-network care at the in-network benefit level for plans without out of network benefits. </w:t>
            </w:r>
          </w:p>
          <w:p w14:paraId="713E64E4"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As an additional way of ensuring meaningful access to services, Cigna also measures, consistent with NCQA standards, accessibility of care to MH/SUD providers annually using findings from enrollee surveys and complaints and by measuring results against the accessibility standards and metrics. Cigna uses the continuous quality improvement (CQI) process to identify opportunities for improvement. Cigna has reviewed and rendered </w:t>
            </w:r>
            <w:proofErr w:type="gramStart"/>
            <w:r w:rsidRPr="00D61E32">
              <w:rPr>
                <w:rFonts w:ascii="Century Gothic" w:eastAsia="Times New Roman" w:hAnsi="Century Gothic" w:cs="Arial"/>
              </w:rPr>
              <w:t>uniform</w:t>
            </w:r>
            <w:proofErr w:type="gramEnd"/>
            <w:r w:rsidRPr="00D61E32">
              <w:rPr>
                <w:rFonts w:ascii="Century Gothic" w:eastAsia="Times New Roman" w:hAnsi="Century Gothic" w:cs="Arial"/>
              </w:rPr>
              <w:t xml:space="preserve">, where appropriate, its M/S and MH/SUD network adequacy policies and procedures to ensure comparability across M/S and MH/SUD providers.  These policies and procedures are reviewed at least annually to ensure the continued sufficiency of the standards in meeting enrollees’ needs. Cigna uses a combined network adequacy </w:t>
            </w:r>
            <w:proofErr w:type="gramStart"/>
            <w:r w:rsidRPr="00D61E32">
              <w:rPr>
                <w:rFonts w:ascii="Century Gothic" w:eastAsia="Times New Roman" w:hAnsi="Century Gothic" w:cs="Arial"/>
              </w:rPr>
              <w:t>policy</w:t>
            </w:r>
            <w:proofErr w:type="gramEnd"/>
            <w:r w:rsidRPr="00D61E32">
              <w:rPr>
                <w:rFonts w:ascii="Century Gothic" w:eastAsia="Times New Roman" w:hAnsi="Century Gothic" w:cs="Arial"/>
              </w:rPr>
              <w:t xml:space="preserve"> and a similar reporting template is used for both M/S and MH/SUD benefits.  </w:t>
            </w:r>
          </w:p>
          <w:p w14:paraId="01B1645C" w14:textId="77777777" w:rsidR="007C1A22" w:rsidRPr="00D61E32" w:rsidRDefault="007C1A22" w:rsidP="007C1A22">
            <w:pPr>
              <w:spacing w:after="0" w:line="240" w:lineRule="auto"/>
              <w:rPr>
                <w:rFonts w:ascii="Century Gothic" w:eastAsia="Times New Roman" w:hAnsi="Century Gothic" w:cs="Arial"/>
                <w:iCs/>
              </w:rPr>
            </w:pPr>
          </w:p>
        </w:tc>
        <w:tc>
          <w:tcPr>
            <w:tcW w:w="2524" w:type="pct"/>
            <w:tcBorders>
              <w:top w:val="single" w:sz="4" w:space="0" w:color="auto"/>
              <w:left w:val="single" w:sz="4" w:space="0" w:color="auto"/>
              <w:bottom w:val="single" w:sz="4" w:space="0" w:color="auto"/>
              <w:right w:val="single" w:sz="4" w:space="0" w:color="auto"/>
            </w:tcBorders>
          </w:tcPr>
          <w:p w14:paraId="0D63D5B2"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 xml:space="preserve">Network adequacy: </w:t>
            </w:r>
          </w:p>
          <w:p w14:paraId="75A1EF76"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Same as M/S</w:t>
            </w:r>
          </w:p>
          <w:p w14:paraId="606C855D" w14:textId="77777777" w:rsidR="007C1A22" w:rsidRPr="00D61E32" w:rsidRDefault="007C1A22" w:rsidP="007C1A22">
            <w:pPr>
              <w:spacing w:after="0" w:line="240" w:lineRule="auto"/>
              <w:rPr>
                <w:rFonts w:ascii="Century Gothic" w:eastAsia="Times New Roman" w:hAnsi="Century Gothic" w:cs="Arial"/>
                <w:b/>
                <w:bCs/>
                <w:iCs/>
              </w:rPr>
            </w:pPr>
          </w:p>
          <w:p w14:paraId="3E453899" w14:textId="77777777" w:rsidR="007C1A22" w:rsidRPr="00D61E32" w:rsidRDefault="007C1A22" w:rsidP="007C1A22">
            <w:pPr>
              <w:spacing w:after="0" w:line="240" w:lineRule="auto"/>
              <w:rPr>
                <w:rFonts w:ascii="Century Gothic" w:eastAsia="Times New Roman" w:hAnsi="Century Gothic" w:cs="Arial"/>
              </w:rPr>
            </w:pPr>
          </w:p>
        </w:tc>
      </w:tr>
      <w:tr w:rsidR="007C1A22" w:rsidRPr="00D61E32" w14:paraId="09A5C902" w14:textId="77777777" w:rsidTr="004D49C2">
        <w:trPr>
          <w:trHeight w:val="620"/>
        </w:trPr>
        <w:tc>
          <w:tcPr>
            <w:tcW w:w="2476" w:type="pct"/>
            <w:tcBorders>
              <w:top w:val="single" w:sz="4" w:space="0" w:color="auto"/>
              <w:left w:val="single" w:sz="4" w:space="0" w:color="auto"/>
              <w:bottom w:val="single" w:sz="4" w:space="0" w:color="auto"/>
              <w:right w:val="single" w:sz="4" w:space="0" w:color="auto"/>
            </w:tcBorders>
          </w:tcPr>
          <w:p w14:paraId="0A2408C5" w14:textId="77777777" w:rsidR="007C1A22" w:rsidRPr="00D61E32" w:rsidRDefault="007C1A22" w:rsidP="007C1A22">
            <w:pPr>
              <w:spacing w:after="0" w:line="240" w:lineRule="auto"/>
              <w:rPr>
                <w:rFonts w:ascii="Century Gothic" w:eastAsia="Times New Roman" w:hAnsi="Century Gothic" w:cs="Arial"/>
                <w:b/>
                <w:bCs/>
                <w:iCs/>
              </w:rPr>
            </w:pPr>
            <w:r w:rsidRPr="00D61E32">
              <w:rPr>
                <w:rFonts w:ascii="Century Gothic" w:eastAsia="Times New Roman" w:hAnsi="Century Gothic" w:cs="Arial"/>
                <w:b/>
                <w:bCs/>
                <w:iCs/>
              </w:rPr>
              <w:t xml:space="preserve">Credentialing: </w:t>
            </w:r>
          </w:p>
          <w:p w14:paraId="43C5FA6C"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Credentialing criteria for both M/S and MH/SUD Network Providers includes the following standard requirements: (1) signed agreement to participate (2) signed application and provider attestation (3) verification of unrestricted state medical license with appropriate licensing agency; (4) verification of valid, unrestricted DEA certificate (if applicable); (5) verification of full, unrestricted admitting privileges at a Cigna participating hospital; (6) verification Board certification, (if applicable); (7) verification of highest level of education and training, if not board certified; (8) review and verification of malpractice claims history; (9) review of work history; (10) verification of adequate malpractice insurance; and (11) verification of prior and current sanction activities Additional criteria may be applicable pursuant to state credentialing and licensing requirements.</w:t>
            </w:r>
          </w:p>
          <w:p w14:paraId="1D24E1DB" w14:textId="52C5BFF1" w:rsidR="007C1A22" w:rsidRPr="00D61E32" w:rsidRDefault="007C1A22" w:rsidP="007C1A22">
            <w:pPr>
              <w:widowControl w:val="0"/>
              <w:autoSpaceDE w:val="0"/>
              <w:autoSpaceDN w:val="0"/>
              <w:spacing w:after="0" w:line="264" w:lineRule="auto"/>
              <w:rPr>
                <w:rFonts w:ascii="Century Gothic" w:eastAsia="Calibri" w:hAnsi="Century Gothic" w:cs="Arial"/>
                <w:i/>
                <w:iCs/>
              </w:rPr>
            </w:pPr>
          </w:p>
        </w:tc>
        <w:tc>
          <w:tcPr>
            <w:tcW w:w="2524" w:type="pct"/>
            <w:tcBorders>
              <w:top w:val="single" w:sz="4" w:space="0" w:color="auto"/>
              <w:left w:val="single" w:sz="4" w:space="0" w:color="auto"/>
              <w:bottom w:val="single" w:sz="4" w:space="0" w:color="auto"/>
              <w:right w:val="single" w:sz="4" w:space="0" w:color="auto"/>
            </w:tcBorders>
          </w:tcPr>
          <w:p w14:paraId="2AF95DD6" w14:textId="77777777" w:rsidR="007C1A22" w:rsidRPr="00D61E32" w:rsidRDefault="007C1A22" w:rsidP="007C1A22">
            <w:pPr>
              <w:spacing w:after="0" w:line="240" w:lineRule="auto"/>
              <w:rPr>
                <w:rFonts w:ascii="Century Gothic" w:eastAsia="Times New Roman" w:hAnsi="Century Gothic" w:cs="Arial"/>
                <w:b/>
                <w:bCs/>
                <w:iCs/>
              </w:rPr>
            </w:pPr>
            <w:r w:rsidRPr="00D61E32">
              <w:rPr>
                <w:rFonts w:ascii="Century Gothic" w:eastAsia="Times New Roman" w:hAnsi="Century Gothic" w:cs="Arial"/>
                <w:b/>
                <w:bCs/>
                <w:iCs/>
              </w:rPr>
              <w:t>Credentialing:</w:t>
            </w:r>
          </w:p>
          <w:p w14:paraId="3B9194F6" w14:textId="77777777" w:rsidR="007C1A22" w:rsidRPr="00D61E32" w:rsidRDefault="007C1A22" w:rsidP="007C1A22">
            <w:pPr>
              <w:spacing w:after="0" w:line="240" w:lineRule="auto"/>
              <w:rPr>
                <w:rFonts w:ascii="Century Gothic" w:eastAsia="Times New Roman" w:hAnsi="Century Gothic" w:cs="Arial"/>
                <w:b/>
                <w:bCs/>
                <w:iCs/>
              </w:rPr>
            </w:pPr>
          </w:p>
          <w:p w14:paraId="5B0C8060" w14:textId="77777777" w:rsidR="007C1A22" w:rsidRPr="00D61E32" w:rsidRDefault="007C1A22" w:rsidP="007C1A22">
            <w:pPr>
              <w:spacing w:after="0" w:line="240" w:lineRule="auto"/>
              <w:rPr>
                <w:rFonts w:ascii="Century Gothic" w:eastAsia="Times New Roman" w:hAnsi="Century Gothic" w:cs="Arial"/>
              </w:rPr>
            </w:pPr>
          </w:p>
        </w:tc>
      </w:tr>
      <w:tr w:rsidR="007C1A22" w:rsidRPr="00D61E32" w14:paraId="4EBE7257" w14:textId="77777777" w:rsidTr="004D49C2">
        <w:trPr>
          <w:trHeight w:val="620"/>
        </w:trPr>
        <w:tc>
          <w:tcPr>
            <w:tcW w:w="2476" w:type="pct"/>
            <w:tcBorders>
              <w:top w:val="single" w:sz="4" w:space="0" w:color="auto"/>
              <w:left w:val="single" w:sz="4" w:space="0" w:color="auto"/>
              <w:bottom w:val="single" w:sz="4" w:space="0" w:color="auto"/>
              <w:right w:val="single" w:sz="4" w:space="0" w:color="auto"/>
            </w:tcBorders>
          </w:tcPr>
          <w:p w14:paraId="381CF4F2"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Reimbursement:</w:t>
            </w:r>
          </w:p>
          <w:p w14:paraId="3D91446E" w14:textId="77777777" w:rsidR="007C1A22" w:rsidRPr="00D61E32" w:rsidRDefault="007C1A22" w:rsidP="007C1A22">
            <w:pPr>
              <w:spacing w:after="240" w:line="264" w:lineRule="auto"/>
              <w:rPr>
                <w:rFonts w:ascii="Century Gothic" w:eastAsia="Calibri" w:hAnsi="Century Gothic" w:cs="Arial"/>
              </w:rPr>
            </w:pPr>
            <w:r w:rsidRPr="00D61E32">
              <w:rPr>
                <w:rFonts w:ascii="Century Gothic" w:eastAsia="Calibri" w:hAnsi="Century Gothic" w:cs="Arial"/>
              </w:rPr>
              <w:t xml:space="preserve">Whether for initial negotiation or renegotiation, Cigna's Network Provider reimbursement methodology for MH/SUD and M/S Network Providers are based upon the same array of factors.  Re-negotiations of reimbursement rates are conducted according to the terms of the contract, or if not specified in the contract, they are conducted at the request of either party. The number of Network Providers (Individual, Group or Facility) joining or already part of the network does not factor into initial rate offerings. M/S and MH/SUD facilities may be reimbursed per diem, Diagnosis Related </w:t>
            </w:r>
            <w:proofErr w:type="gramStart"/>
            <w:r w:rsidRPr="00D61E32">
              <w:rPr>
                <w:rFonts w:ascii="Century Gothic" w:eastAsia="Calibri" w:hAnsi="Century Gothic" w:cs="Arial"/>
              </w:rPr>
              <w:t>Group</w:t>
            </w:r>
            <w:proofErr w:type="gramEnd"/>
            <w:r w:rsidRPr="00D61E32">
              <w:rPr>
                <w:rFonts w:ascii="Century Gothic" w:eastAsia="Calibri" w:hAnsi="Century Gothic" w:cs="Arial"/>
              </w:rPr>
              <w:t xml:space="preserve"> or case rate. Per diem reimbursement involves a flat dollar amount for each day as reimbursement for the service. DRG reimbursement is based upon Medicare DRG calculations, which assign payment levels to each DRG based on the average cost of treatment. Case rates, also referred to as </w:t>
            </w:r>
            <w:r w:rsidRPr="00D61E32">
              <w:rPr>
                <w:rFonts w:ascii="Century Gothic" w:eastAsia="Calibri" w:hAnsi="Century Gothic" w:cs="Arial"/>
                <w:iCs/>
              </w:rPr>
              <w:t>flat rates</w:t>
            </w:r>
            <w:r w:rsidRPr="00D61E32">
              <w:rPr>
                <w:rFonts w:ascii="Century Gothic" w:eastAsia="Calibri" w:hAnsi="Century Gothic" w:cs="Arial"/>
                <w:i/>
              </w:rPr>
              <w:t>,</w:t>
            </w:r>
            <w:r w:rsidRPr="00D61E32">
              <w:rPr>
                <w:rFonts w:ascii="Century Gothic" w:eastAsia="Calibri" w:hAnsi="Century Gothic" w:cs="Arial"/>
              </w:rPr>
              <w:t xml:space="preserve"> describe a reimbursement structure in which providers receive a flat reimbursement rate for every patient visit, regardless of the service (most often utilized in urgent care). Cigna does not determine or mandate the reimbursement type; selection of reimbursement type is determined by the facility. Generally, M/S facility providers request DRG reimbursement, while MH/SUD facility providers request per diem reimbursement. More than 90% of MH/SUD Provider Network contracts reflect per diem reimbursement. The evidentiary factors taken into consideration in the negotiation of the per-diem rate are not weighted or prioritized one more than the other; however, additional consideration may be given to meet network adequacy standards. </w:t>
            </w:r>
          </w:p>
          <w:p w14:paraId="08FAF99E" w14:textId="77777777" w:rsidR="007C1A22" w:rsidRPr="00D61E32" w:rsidRDefault="007C1A22" w:rsidP="007C1A22">
            <w:pPr>
              <w:spacing w:after="240" w:line="264" w:lineRule="auto"/>
              <w:rPr>
                <w:rFonts w:ascii="Century Gothic" w:eastAsia="Calibri" w:hAnsi="Century Gothic" w:cs="Arial"/>
              </w:rPr>
            </w:pPr>
            <w:r w:rsidRPr="00D61E32">
              <w:rPr>
                <w:rFonts w:ascii="Century Gothic" w:eastAsia="Calibri" w:hAnsi="Century Gothic" w:cs="Arial"/>
              </w:rPr>
              <w:t xml:space="preserve">Factors for reimbursement negotiation include: (1) </w:t>
            </w:r>
            <w:r w:rsidRPr="00D61E32">
              <w:rPr>
                <w:rFonts w:ascii="Century Gothic" w:eastAsia="Calibri" w:hAnsi="Century Gothic" w:cs="Arial"/>
                <w:bCs/>
              </w:rPr>
              <w:t xml:space="preserve">Geographic market, which may be adjusted based upon Medicare Geographical Practice Cost Index (“GPCI”) </w:t>
            </w:r>
            <w:r w:rsidRPr="00D61E32">
              <w:rPr>
                <w:rFonts w:ascii="Century Gothic" w:eastAsia="Calibri" w:hAnsi="Century Gothic" w:cs="Arial"/>
              </w:rPr>
              <w:t xml:space="preserve">Geographic Practice Cost Index (GPCI) reflects the relative cost of practicing in a locality against a national average. Each relative value is multiplied by the corresponding GPCI. The three component factors are then accumulated to arrive at an adjusted amount. This amount is then multiplied by the conversion factor to establish the Medicare full fee schedule amount in the Medicare Physician Fee Schedule Data Base (MPFSDB). CMS performs calculations on the fee schedule, </w:t>
            </w:r>
            <w:proofErr w:type="gramStart"/>
            <w:r w:rsidRPr="00D61E32">
              <w:rPr>
                <w:rFonts w:ascii="Century Gothic" w:eastAsia="Calibri" w:hAnsi="Century Gothic" w:cs="Arial"/>
              </w:rPr>
              <w:t>with the exception of</w:t>
            </w:r>
            <w:proofErr w:type="gramEnd"/>
            <w:r w:rsidRPr="00D61E32">
              <w:rPr>
                <w:rFonts w:ascii="Century Gothic" w:eastAsia="Calibri" w:hAnsi="Century Gothic" w:cs="Arial"/>
              </w:rPr>
              <w:t xml:space="preserve"> carrier-priced procedure codes, and provides fee schedule calculations to the Medicare Administrative Contractors (MACs). Geographic Practice Cost Index is not weighted for purposes of per diem reimbursement;  (2) </w:t>
            </w:r>
            <w:r w:rsidRPr="00D61E32">
              <w:rPr>
                <w:rFonts w:ascii="Century Gothic" w:eastAsia="Calibri" w:hAnsi="Century Gothic" w:cs="Arial"/>
                <w:bCs/>
              </w:rPr>
              <w:t xml:space="preserve">Type of provider and/or specialty (e.g. physician practitioner v. non-physician practitioner v. facility); </w:t>
            </w:r>
            <w:r w:rsidRPr="00D61E32">
              <w:rPr>
                <w:rFonts w:ascii="Century Gothic" w:eastAsia="Calibri" w:hAnsi="Century Gothic" w:cs="Arial"/>
              </w:rPr>
              <w:t xml:space="preserve">Provider types are dependent upon state licensing and credentialing requirements as outlined by the applicable state or NCQA. Cigna does not weight provider types or designate any additional provider and/or specialty designations (e.g. physician practitioner v. non-physician practitioner); (3) </w:t>
            </w:r>
            <w:r w:rsidRPr="00D61E32">
              <w:rPr>
                <w:rFonts w:ascii="Century Gothic" w:eastAsia="Calibri" w:hAnsi="Century Gothic" w:cs="Arial"/>
                <w:bCs/>
              </w:rPr>
              <w:t xml:space="preserve">Supply of provider type and/or specialty. </w:t>
            </w:r>
            <w:r w:rsidRPr="00D61E32">
              <w:rPr>
                <w:rFonts w:ascii="Century Gothic" w:eastAsia="Calibri" w:hAnsi="Century Gothic" w:cs="Arial"/>
              </w:rPr>
              <w:t xml:space="preserve">Provider specific fee schedules are used for multi-specialty specialty groups or unique specialty groups where reimbursement terms must be customized to meet the needs of that group or specialty. Provider specific or specialty fee schedules are used to retain providers if the providers are needed to meet network access requirements and/or increase membership. Supply of provider type and/or specialty are not weighted in relation to the other evidentiary standards for purposes of per diem reimbursement; (4) </w:t>
            </w:r>
            <w:r w:rsidRPr="00D61E32">
              <w:rPr>
                <w:rFonts w:ascii="Century Gothic" w:eastAsia="Calibri" w:hAnsi="Century Gothic" w:cs="Arial"/>
                <w:bCs/>
              </w:rPr>
              <w:t>Network need and/or demand for provider type and/or specialty. N</w:t>
            </w:r>
            <w:r w:rsidRPr="00D61E32">
              <w:rPr>
                <w:rFonts w:ascii="Century Gothic" w:eastAsia="Calibri" w:hAnsi="Century Gothic" w:cs="Arial"/>
              </w:rPr>
              <w:t>etwork need and/or demand for provider type or specialty is defined by state adequacy requirements. Cigna contracts with practitioners and providers across all networks and for all product lines to meet the availability and cultural needs and preferences of customers, establishes availability standards and assesses its networks against those standards articulated in Cigna’s</w:t>
            </w:r>
            <w:r w:rsidRPr="00D61E32">
              <w:rPr>
                <w:rFonts w:ascii="Century Gothic" w:eastAsia="Calibri" w:hAnsi="Century Gothic" w:cs="Arial"/>
                <w:i/>
                <w:iCs/>
              </w:rPr>
              <w:t xml:space="preserve"> Measuring Availability of Practitioners and Providers Policy. </w:t>
            </w:r>
            <w:r w:rsidRPr="00D61E32">
              <w:rPr>
                <w:rFonts w:ascii="Century Gothic" w:eastAsia="Calibri" w:hAnsi="Century Gothic" w:cs="Arial"/>
              </w:rPr>
              <w:t xml:space="preserve">Need and/or demand for provider type and/or specialty are not weighted in relation to the other evidentiary standards for purposes of per diem reimbursement;  (5) </w:t>
            </w:r>
            <w:r w:rsidRPr="00D61E32">
              <w:rPr>
                <w:rFonts w:ascii="Century Gothic" w:eastAsia="Calibri" w:hAnsi="Century Gothic" w:cs="Arial"/>
                <w:bCs/>
              </w:rPr>
              <w:t xml:space="preserve">Training, </w:t>
            </w:r>
            <w:proofErr w:type="gramStart"/>
            <w:r w:rsidRPr="00D61E32">
              <w:rPr>
                <w:rFonts w:ascii="Century Gothic" w:eastAsia="Calibri" w:hAnsi="Century Gothic" w:cs="Arial"/>
                <w:bCs/>
              </w:rPr>
              <w:t>experience</w:t>
            </w:r>
            <w:proofErr w:type="gramEnd"/>
            <w:r w:rsidRPr="00D61E32">
              <w:rPr>
                <w:rFonts w:ascii="Century Gothic" w:eastAsia="Calibri" w:hAnsi="Century Gothic" w:cs="Arial"/>
                <w:bCs/>
              </w:rPr>
              <w:t xml:space="preserve"> and licensure of providers billing for professional services under the facility agreement. </w:t>
            </w:r>
            <w:r w:rsidRPr="00D61E32">
              <w:rPr>
                <w:rFonts w:ascii="Century Gothic" w:eastAsia="Calibri" w:hAnsi="Century Gothic" w:cs="Arial"/>
              </w:rPr>
              <w:t xml:space="preserve">Training, </w:t>
            </w:r>
            <w:proofErr w:type="gramStart"/>
            <w:r w:rsidRPr="00D61E32">
              <w:rPr>
                <w:rFonts w:ascii="Century Gothic" w:eastAsia="Calibri" w:hAnsi="Century Gothic" w:cs="Arial"/>
              </w:rPr>
              <w:t>experience</w:t>
            </w:r>
            <w:proofErr w:type="gramEnd"/>
            <w:r w:rsidRPr="00D61E32">
              <w:rPr>
                <w:rFonts w:ascii="Century Gothic" w:eastAsia="Calibri" w:hAnsi="Century Gothic" w:cs="Arial"/>
              </w:rPr>
              <w:t xml:space="preserve"> and licensure of providers billing for professional services under the facility agreement are not specifically weighted in relation to the other evidentiary standards for purposes of per diem reimbursement; (6) </w:t>
            </w:r>
            <w:r w:rsidRPr="00D61E32">
              <w:rPr>
                <w:rFonts w:ascii="Century Gothic" w:eastAsia="Calibri" w:hAnsi="Century Gothic" w:cs="Arial"/>
                <w:bCs/>
              </w:rPr>
              <w:t xml:space="preserve">Medicare reimbursement rates for codes with assigned Medicare Relative Value Unit (“RVU”). </w:t>
            </w:r>
            <w:r w:rsidRPr="00D61E32">
              <w:rPr>
                <w:rFonts w:ascii="Century Gothic" w:eastAsia="Calibri" w:hAnsi="Century Gothic" w:cs="Arial"/>
              </w:rPr>
              <w:t xml:space="preserve">RVUs are the basis of the RBRVS system. Unit values are assigned to each service (CPT code) by area of specialty and for some codes, different RVUs for site of service: facility and non-facility. RVUs are not weighted for per diem </w:t>
            </w:r>
            <w:proofErr w:type="gramStart"/>
            <w:r w:rsidRPr="00D61E32">
              <w:rPr>
                <w:rFonts w:ascii="Century Gothic" w:eastAsia="Calibri" w:hAnsi="Century Gothic" w:cs="Arial"/>
              </w:rPr>
              <w:t>reimbursement;</w:t>
            </w:r>
            <w:proofErr w:type="gramEnd"/>
            <w:r w:rsidRPr="00D61E32">
              <w:rPr>
                <w:rFonts w:ascii="Century Gothic" w:eastAsia="Calibri" w:hAnsi="Century Gothic" w:cs="Arial"/>
              </w:rPr>
              <w:t xml:space="preserve"> </w:t>
            </w:r>
          </w:p>
          <w:p w14:paraId="1F46EB15" w14:textId="77777777" w:rsidR="007C1A22" w:rsidRPr="00D61E32" w:rsidRDefault="007C1A22" w:rsidP="007C1A22">
            <w:pPr>
              <w:spacing w:after="240" w:line="264" w:lineRule="auto"/>
              <w:rPr>
                <w:rFonts w:ascii="Century Gothic" w:eastAsia="Calibri" w:hAnsi="Century Gothic" w:cs="Arial"/>
              </w:rPr>
            </w:pPr>
            <w:r w:rsidRPr="00D61E32">
              <w:rPr>
                <w:rFonts w:ascii="Century Gothic" w:eastAsia="Calibri" w:hAnsi="Century Gothic" w:cs="Arial"/>
              </w:rPr>
              <w:t xml:space="preserve">Cigna utilizes the Medicare Pricing Tool to determine if the provider’s (current) rates are above the defined Medicare Baselines. The minimum standards are designated as a percentage of Medicare reimbursement, according to licensure and Medicare locality. Cigna uses standard Medicare Resource Based Relative Value Scale (“RBRVS”), a CMS created reimbursement methodology to reimburse providers for members covered under the Medicare program and as a baseline for commercial reimbursement rates. Cigna’s RBRVS methodology calculates the allowable fee for a covered service. Cigna RBRVS is set annually: </w:t>
            </w:r>
          </w:p>
          <w:p w14:paraId="7EB53F72" w14:textId="77777777" w:rsidR="007C1A22" w:rsidRPr="00D61E32" w:rsidRDefault="007C1A22" w:rsidP="007C1A22">
            <w:pPr>
              <w:spacing w:after="240" w:line="264" w:lineRule="auto"/>
              <w:jc w:val="center"/>
              <w:rPr>
                <w:rFonts w:ascii="Century Gothic" w:eastAsia="Calibri" w:hAnsi="Century Gothic" w:cs="Arial"/>
              </w:rPr>
            </w:pPr>
            <w:r w:rsidRPr="00D61E32">
              <w:rPr>
                <w:rFonts w:ascii="Century Gothic" w:eastAsia="Calibri" w:hAnsi="Century Gothic" w:cs="Arial"/>
              </w:rPr>
              <w:t>[(Work RVU x Work GPCI) + (Practice RVU x Practice GPCI) +</w:t>
            </w:r>
          </w:p>
          <w:p w14:paraId="0A4FE8CF" w14:textId="77777777" w:rsidR="007C1A22" w:rsidRPr="00D61E32" w:rsidRDefault="007C1A22" w:rsidP="007C1A22">
            <w:pPr>
              <w:spacing w:after="240" w:line="264" w:lineRule="auto"/>
              <w:jc w:val="center"/>
              <w:rPr>
                <w:rFonts w:ascii="Century Gothic" w:eastAsia="Calibri" w:hAnsi="Century Gothic" w:cs="Arial"/>
              </w:rPr>
            </w:pPr>
            <w:r w:rsidRPr="00D61E32">
              <w:rPr>
                <w:rFonts w:ascii="Century Gothic" w:eastAsia="Calibri" w:hAnsi="Century Gothic" w:cs="Arial"/>
              </w:rPr>
              <w:t>(Malpractice RVU x Malpractice GPCI)] x Conversion Factor = Reimbursement</w:t>
            </w:r>
          </w:p>
          <w:p w14:paraId="36A3125C" w14:textId="77777777" w:rsidR="007C1A22" w:rsidRPr="00D61E32" w:rsidRDefault="007C1A22" w:rsidP="007C1A22">
            <w:pPr>
              <w:spacing w:after="240" w:line="264" w:lineRule="auto"/>
              <w:rPr>
                <w:rFonts w:ascii="Century Gothic" w:eastAsia="Calibri" w:hAnsi="Century Gothic" w:cs="Arial"/>
              </w:rPr>
            </w:pPr>
            <w:r w:rsidRPr="00D61E32">
              <w:rPr>
                <w:rFonts w:ascii="Century Gothic" w:eastAsia="Calibri" w:hAnsi="Century Gothic" w:cs="Arial"/>
              </w:rPr>
              <w:t>RVUs are the basis of the RBRVS system. Unit values are assigned to each service (CPT code) by area of specialty and for some codes, different RVUs for site of service: facility and non-facility. Three components are used to make up a total RVU  (1) Physician’s work – This component accounts for the providers time, technical skill, mental effort, and physiological stress; (2) Practice expense – This component includes office rent, wages, supplies, equipment; (3) Malpractice Expense - This component includes professional liability insurance cost. To fill gaps for codes not covered by RBRVS methodology Cigna uses relative values assigned by Optum (</w:t>
            </w:r>
            <w:proofErr w:type="spellStart"/>
            <w:r w:rsidRPr="00D61E32">
              <w:rPr>
                <w:rFonts w:ascii="Century Gothic" w:eastAsia="Calibri" w:hAnsi="Century Gothic" w:cs="Arial"/>
              </w:rPr>
              <w:t>Ingenix</w:t>
            </w:r>
            <w:proofErr w:type="spellEnd"/>
            <w:r w:rsidRPr="00D61E32">
              <w:rPr>
                <w:rFonts w:ascii="Century Gothic" w:eastAsia="Calibri" w:hAnsi="Century Gothic" w:cs="Arial"/>
              </w:rPr>
              <w:t>) for M/S services. Optum (</w:t>
            </w:r>
            <w:proofErr w:type="spellStart"/>
            <w:r w:rsidRPr="00D61E32">
              <w:rPr>
                <w:rFonts w:ascii="Century Gothic" w:eastAsia="Calibri" w:hAnsi="Century Gothic" w:cs="Arial"/>
              </w:rPr>
              <w:t>Ingenix</w:t>
            </w:r>
            <w:proofErr w:type="spellEnd"/>
            <w:r w:rsidRPr="00D61E32">
              <w:rPr>
                <w:rFonts w:ascii="Century Gothic" w:eastAsia="Calibri" w:hAnsi="Century Gothic" w:cs="Arial"/>
              </w:rPr>
              <w:t xml:space="preserve">), is a </w:t>
            </w:r>
            <w:proofErr w:type="gramStart"/>
            <w:r w:rsidRPr="00D61E32">
              <w:rPr>
                <w:rFonts w:ascii="Century Gothic" w:eastAsia="Calibri" w:hAnsi="Century Gothic" w:cs="Arial"/>
              </w:rPr>
              <w:t>third party</w:t>
            </w:r>
            <w:proofErr w:type="gramEnd"/>
            <w:r w:rsidRPr="00D61E32">
              <w:rPr>
                <w:rFonts w:ascii="Century Gothic" w:eastAsia="Calibri" w:hAnsi="Century Gothic" w:cs="Arial"/>
              </w:rPr>
              <w:t xml:space="preserve"> health data company, that uses the same methodology originally used to develop the values for Medicare covered services. For those services that cannot be valued using a resource- based methodology, values have been developed using alternative methodologies proprietary to Optum (</w:t>
            </w:r>
            <w:proofErr w:type="spellStart"/>
            <w:r w:rsidRPr="00D61E32">
              <w:rPr>
                <w:rFonts w:ascii="Century Gothic" w:eastAsia="Calibri" w:hAnsi="Century Gothic" w:cs="Arial"/>
              </w:rPr>
              <w:t>Ingenix</w:t>
            </w:r>
            <w:proofErr w:type="spellEnd"/>
            <w:r w:rsidRPr="00D61E32">
              <w:rPr>
                <w:rFonts w:ascii="Century Gothic" w:eastAsia="Calibri" w:hAnsi="Century Gothic" w:cs="Arial"/>
              </w:rPr>
              <w:t>). In an RBRVS calculation, each component of an RVU is multiplied by its GPCI then totaled and multiplied by the conversion factor to determine the fee or payment. Cigna uses the same GPCIs as Medicare. There are approximately 89 GPCIs. Cigna uses Optum (</w:t>
            </w:r>
            <w:proofErr w:type="spellStart"/>
            <w:r w:rsidRPr="00D61E32">
              <w:rPr>
                <w:rFonts w:ascii="Century Gothic" w:eastAsia="Calibri" w:hAnsi="Century Gothic" w:cs="Arial"/>
              </w:rPr>
              <w:t>Ingenix</w:t>
            </w:r>
            <w:proofErr w:type="spellEnd"/>
            <w:r w:rsidRPr="00D61E32">
              <w:rPr>
                <w:rFonts w:ascii="Century Gothic" w:eastAsia="Calibri" w:hAnsi="Century Gothic" w:cs="Arial"/>
              </w:rPr>
              <w:t>) values to fill gaps for codes not covered by RBRVS methodology.</w:t>
            </w:r>
          </w:p>
          <w:p w14:paraId="29042000" w14:textId="77777777" w:rsidR="007C1A22" w:rsidRPr="00D61E32" w:rsidRDefault="007C1A22" w:rsidP="007C1A22">
            <w:pPr>
              <w:spacing w:after="240" w:line="264" w:lineRule="auto"/>
              <w:rPr>
                <w:rFonts w:ascii="Century Gothic" w:eastAsia="Calibri" w:hAnsi="Century Gothic" w:cs="Arial"/>
              </w:rPr>
            </w:pPr>
            <w:r w:rsidRPr="00D61E32">
              <w:rPr>
                <w:rFonts w:ascii="Century Gothic" w:eastAsia="Calibri" w:hAnsi="Century Gothic" w:cs="Arial"/>
              </w:rPr>
              <w:t xml:space="preserve">Facility rate categories are industry standard with the market and economy dictating rates for both M/S and MH/SUD facilities. Cigna utilizes Medicare’s resource-based relative value scale (RBRVS) calculation (OP- BH &amp; Med). This calculation is premised on the principle that payments for services should vary with the resource cost for providing the services. In each instance, the fee schedule is separately reviewed and negotiated. </w:t>
            </w:r>
          </w:p>
          <w:p w14:paraId="1E4C6BE8" w14:textId="77777777" w:rsidR="007C1A22" w:rsidRPr="00D61E32" w:rsidRDefault="007C1A22" w:rsidP="007C1A22">
            <w:pPr>
              <w:spacing w:after="240" w:line="264" w:lineRule="auto"/>
              <w:rPr>
                <w:rFonts w:ascii="Century Gothic" w:eastAsia="Calibri" w:hAnsi="Century Gothic" w:cs="Arial"/>
              </w:rPr>
            </w:pPr>
            <w:r w:rsidRPr="00D61E32">
              <w:rPr>
                <w:rFonts w:ascii="Century Gothic" w:eastAsia="Calibri" w:hAnsi="Century Gothic" w:cs="Arial"/>
              </w:rPr>
              <w:t xml:space="preserve">For DRG reimbursement, weighting is not calculated within the contract or at the time of contract rate negotiation, but instead occurs at the time of payment as DRG reimbursement is dependent on a variety of variable factors such as patient age and diagnosis. When behavioral contracts at a per diem rate, the population and type of care are distinguished in the contract and rates are negotiated separately. Cigna utilizes CMS grouping software (Optum) that takes the information from the claim and “groups it” into the correct DRG. Then </w:t>
            </w:r>
            <w:proofErr w:type="gramStart"/>
            <w:r w:rsidRPr="00D61E32">
              <w:rPr>
                <w:rFonts w:ascii="Century Gothic" w:eastAsia="Calibri" w:hAnsi="Century Gothic" w:cs="Arial"/>
              </w:rPr>
              <w:t>that DRG</w:t>
            </w:r>
            <w:proofErr w:type="gramEnd"/>
            <w:r w:rsidRPr="00D61E32">
              <w:rPr>
                <w:rFonts w:ascii="Century Gothic" w:eastAsia="Calibri" w:hAnsi="Century Gothic" w:cs="Arial"/>
              </w:rPr>
              <w:t xml:space="preserve"> information is used to calculate the reimbursement, based on the factor in the contract; by way of example: DRG 203 has a factor 17; CMS DRG weight x contracted factor = reimbursement.</w:t>
            </w:r>
          </w:p>
          <w:p w14:paraId="74D456D4" w14:textId="77777777" w:rsidR="007C1A22" w:rsidRPr="00D61E32" w:rsidRDefault="007C1A22" w:rsidP="007C1A22">
            <w:pPr>
              <w:spacing w:after="240" w:line="264" w:lineRule="auto"/>
              <w:rPr>
                <w:rFonts w:ascii="Century Gothic" w:eastAsia="Calibri" w:hAnsi="Century Gothic" w:cs="Arial"/>
              </w:rPr>
            </w:pPr>
          </w:p>
        </w:tc>
        <w:tc>
          <w:tcPr>
            <w:tcW w:w="2524" w:type="pct"/>
            <w:tcBorders>
              <w:top w:val="single" w:sz="4" w:space="0" w:color="auto"/>
              <w:left w:val="single" w:sz="4" w:space="0" w:color="auto"/>
              <w:bottom w:val="single" w:sz="4" w:space="0" w:color="auto"/>
              <w:right w:val="single" w:sz="4" w:space="0" w:color="auto"/>
            </w:tcBorders>
          </w:tcPr>
          <w:p w14:paraId="11140206"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Reimbursement:</w:t>
            </w:r>
          </w:p>
          <w:p w14:paraId="479E4F29" w14:textId="77777777" w:rsidR="007C1A22" w:rsidRPr="00D61E32" w:rsidRDefault="007C1A22" w:rsidP="007C1A22">
            <w:pPr>
              <w:spacing w:after="0" w:line="240" w:lineRule="auto"/>
              <w:rPr>
                <w:rFonts w:ascii="Century Gothic" w:eastAsia="Times New Roman" w:hAnsi="Century Gothic" w:cs="Arial"/>
                <w:b/>
              </w:rPr>
            </w:pPr>
          </w:p>
          <w:p w14:paraId="1F4FAD77" w14:textId="77777777" w:rsidR="007C1A22" w:rsidRPr="00D61E32" w:rsidRDefault="007C1A22" w:rsidP="007C1A22">
            <w:pPr>
              <w:spacing w:after="0" w:line="240" w:lineRule="auto"/>
              <w:rPr>
                <w:rFonts w:ascii="Century Gothic" w:eastAsia="Times New Roman" w:hAnsi="Century Gothic" w:cs="Arial"/>
                <w:b/>
              </w:rPr>
            </w:pPr>
          </w:p>
        </w:tc>
      </w:tr>
      <w:tr w:rsidR="007C1A22" w:rsidRPr="00D61E32" w14:paraId="4A275528" w14:textId="77777777" w:rsidTr="004D49C2">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7B3551B6" w14:textId="77777777" w:rsidR="007C1A22" w:rsidRPr="00D61E32" w:rsidRDefault="007C1A22" w:rsidP="007C1A22">
            <w:pPr>
              <w:spacing w:after="0" w:line="240" w:lineRule="auto"/>
              <w:rPr>
                <w:rFonts w:ascii="Century Gothic" w:eastAsia="Times New Roman" w:hAnsi="Century Gothic" w:cs="Arial"/>
                <w:b/>
                <w:bCs/>
              </w:rPr>
            </w:pPr>
          </w:p>
          <w:p w14:paraId="478CB8B7" w14:textId="77777777" w:rsidR="007C1A22" w:rsidRPr="00D61E32" w:rsidRDefault="007C1A22" w:rsidP="007C1A22">
            <w:pPr>
              <w:spacing w:after="0" w:line="240" w:lineRule="auto"/>
              <w:rPr>
                <w:rFonts w:ascii="Century Gothic" w:eastAsia="Times New Roman" w:hAnsi="Century Gothic" w:cs="Arial"/>
                <w:bCs/>
              </w:rPr>
            </w:pPr>
            <w:r w:rsidRPr="00D61E32">
              <w:rPr>
                <w:rFonts w:ascii="Century Gothic" w:eastAsia="Times New Roman" w:hAnsi="Century Gothic"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7C971939" w14:textId="77777777" w:rsidR="007C1A22" w:rsidRPr="00D61E32" w:rsidRDefault="007C1A22" w:rsidP="007C1A22">
            <w:pPr>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The analyses, as documented, should explain whether there is any variation in the application of a guideline or standard used by the plan or issuer between MH/SUD and medical/surgical benefits and, if so, describe the process and factors used for establishing that variation.</w:t>
            </w:r>
          </w:p>
          <w:p w14:paraId="4BAF8A41" w14:textId="77777777" w:rsidR="007C1A22" w:rsidRPr="00D61E32" w:rsidRDefault="007C1A22" w:rsidP="007C1A22">
            <w:pPr>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If the application of the NQTL turns on specific decisions in administration of the benefits, the plan or issuer should identify the nature of the decisions, the decision maker(s), the timing of the decisions, and the qualifications of the decision maker(s).</w:t>
            </w:r>
          </w:p>
          <w:p w14:paraId="2857C4D8" w14:textId="77777777" w:rsidR="007C1A22" w:rsidRPr="00D61E32" w:rsidRDefault="007C1A22" w:rsidP="007C1A22">
            <w:pPr>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 xml:space="preserve">If the </w:t>
            </w:r>
            <w:proofErr w:type="gramStart"/>
            <w:r w:rsidRPr="00D61E32">
              <w:rPr>
                <w:rFonts w:ascii="Century Gothic" w:eastAsia="Times New Roman" w:hAnsi="Century Gothic" w:cs="Arial"/>
                <w:bCs/>
                <w:i/>
              </w:rPr>
              <w:t>plan’s</w:t>
            </w:r>
            <w:proofErr w:type="gramEnd"/>
            <w:r w:rsidRPr="00D61E32">
              <w:rPr>
                <w:rFonts w:ascii="Century Gothic" w:eastAsia="Times New Roman" w:hAnsi="Century Gothic" w:cs="Arial"/>
                <w:bCs/>
                <w:i/>
              </w:rPr>
              <w:t xml:space="preserve">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p>
        </w:tc>
      </w:tr>
      <w:tr w:rsidR="004D49C2" w:rsidRPr="00D61E32" w14:paraId="1390427E" w14:textId="77777777" w:rsidTr="004D49C2">
        <w:trPr>
          <w:trHeight w:val="70"/>
        </w:trPr>
        <w:tc>
          <w:tcPr>
            <w:tcW w:w="2476" w:type="pct"/>
            <w:tcBorders>
              <w:top w:val="single" w:sz="4" w:space="0" w:color="auto"/>
              <w:left w:val="single" w:sz="4" w:space="0" w:color="auto"/>
              <w:bottom w:val="single" w:sz="4" w:space="0" w:color="auto"/>
              <w:right w:val="single" w:sz="4" w:space="0" w:color="auto"/>
            </w:tcBorders>
            <w:shd w:val="clear" w:color="auto" w:fill="DBE5F1"/>
            <w:hideMark/>
          </w:tcPr>
          <w:p w14:paraId="61FAAC55"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b/>
              </w:rPr>
              <w:t>Medical/Surgical</w:t>
            </w:r>
            <w:r w:rsidRPr="00D61E32">
              <w:rPr>
                <w:rFonts w:ascii="Century Gothic" w:eastAsia="Times New Roman" w:hAnsi="Century Gothic" w:cs="Arial"/>
              </w:rPr>
              <w:t>:</w:t>
            </w:r>
          </w:p>
        </w:tc>
        <w:tc>
          <w:tcPr>
            <w:tcW w:w="2524" w:type="pct"/>
            <w:tcBorders>
              <w:top w:val="single" w:sz="4" w:space="0" w:color="auto"/>
              <w:left w:val="single" w:sz="4" w:space="0" w:color="auto"/>
              <w:bottom w:val="single" w:sz="4" w:space="0" w:color="auto"/>
              <w:right w:val="single" w:sz="4" w:space="0" w:color="auto"/>
            </w:tcBorders>
            <w:shd w:val="clear" w:color="auto" w:fill="DBE5F1"/>
            <w:hideMark/>
          </w:tcPr>
          <w:p w14:paraId="68B219AF"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b/>
              </w:rPr>
              <w:t>MH/SUD</w:t>
            </w:r>
            <w:r w:rsidRPr="00D61E32">
              <w:rPr>
                <w:rFonts w:ascii="Century Gothic" w:eastAsia="Times New Roman" w:hAnsi="Century Gothic" w:cs="Arial"/>
              </w:rPr>
              <w:t>:</w:t>
            </w:r>
          </w:p>
        </w:tc>
      </w:tr>
      <w:tr w:rsidR="007C1A22" w:rsidRPr="00D61E32" w14:paraId="4E2CB7A6" w14:textId="77777777" w:rsidTr="004D49C2">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cPr>
          <w:p w14:paraId="20538F2D" w14:textId="77777777" w:rsidR="007C1A22" w:rsidRPr="00D61E32" w:rsidRDefault="007C1A22" w:rsidP="007C1A22">
            <w:pPr>
              <w:spacing w:after="0" w:line="240" w:lineRule="auto"/>
              <w:rPr>
                <w:rFonts w:ascii="Century Gothic" w:eastAsia="Times New Roman" w:hAnsi="Century Gothic" w:cs="Arial"/>
                <w:b/>
                <w:u w:val="single"/>
              </w:rPr>
            </w:pPr>
          </w:p>
          <w:p w14:paraId="40A87C0D"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u w:val="single"/>
              </w:rPr>
              <w:t>In writing Analysis</w:t>
            </w:r>
            <w:r w:rsidRPr="00D61E32">
              <w:rPr>
                <w:rFonts w:ascii="Century Gothic" w:eastAsia="Times New Roman" w:hAnsi="Century Gothic" w:cs="Arial"/>
                <w:b/>
              </w:rPr>
              <w:t xml:space="preserve">: </w:t>
            </w:r>
          </w:p>
          <w:p w14:paraId="1AABDC3C" w14:textId="77777777" w:rsidR="007C1A22" w:rsidRPr="00D61E32" w:rsidRDefault="007C1A22" w:rsidP="007C1A22">
            <w:pPr>
              <w:spacing w:after="0" w:line="240" w:lineRule="auto"/>
              <w:rPr>
                <w:rFonts w:ascii="Century Gothic" w:eastAsia="Times New Roman" w:hAnsi="Century Gothic" w:cs="Arial"/>
                <w:b/>
              </w:rPr>
            </w:pPr>
          </w:p>
        </w:tc>
      </w:tr>
      <w:tr w:rsidR="007C1A22" w:rsidRPr="00D61E32" w14:paraId="53F818E1" w14:textId="77777777" w:rsidTr="004D49C2">
        <w:trPr>
          <w:trHeight w:val="1070"/>
        </w:trPr>
        <w:tc>
          <w:tcPr>
            <w:tcW w:w="2476" w:type="pct"/>
            <w:tcBorders>
              <w:top w:val="single" w:sz="4" w:space="0" w:color="auto"/>
              <w:left w:val="single" w:sz="4" w:space="0" w:color="auto"/>
              <w:bottom w:val="single" w:sz="4" w:space="0" w:color="auto"/>
              <w:right w:val="single" w:sz="4" w:space="0" w:color="auto"/>
            </w:tcBorders>
          </w:tcPr>
          <w:p w14:paraId="248E2A95"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b/>
                <w:bCs/>
              </w:rPr>
              <w:t xml:space="preserve">Network Adequacy: </w:t>
            </w:r>
          </w:p>
          <w:p w14:paraId="298B4558"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Both MH/SUD and M/S negotiations are based upon provider and information availability at a single point </w:t>
            </w:r>
            <w:proofErr w:type="gramStart"/>
            <w:r w:rsidRPr="00D61E32">
              <w:rPr>
                <w:rFonts w:ascii="Century Gothic" w:eastAsia="Times New Roman" w:hAnsi="Century Gothic" w:cs="Arial"/>
              </w:rPr>
              <w:t>in-time</w:t>
            </w:r>
            <w:proofErr w:type="gramEnd"/>
            <w:r w:rsidRPr="00D61E32">
              <w:rPr>
                <w:rFonts w:ascii="Century Gothic" w:eastAsia="Times New Roman" w:hAnsi="Century Gothic" w:cs="Arial"/>
              </w:rPr>
              <w:t>. Network adequacy standards (Network Need) is a contributing factor for both MH/SUD and M/S providers during a reimbursement negotiation.  It is important to note that different providers and facilities have vastly different negotiating or so-called bargaining power. A provider’s bargaining power depends on several factors of which cannot simply be reduced to supply and demand including the provider’s size (e.g., a large statewide or national hospital system vs. an individual solo practitioner); the scarcity or the “supply” of that provider type or specialty; and the reputation, name recognition, and/or quality of the provider.</w:t>
            </w:r>
          </w:p>
          <w:p w14:paraId="3858F5E1"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As expected, providers and facilities that for a variety of reasons have more bargaining power </w:t>
            </w:r>
            <w:proofErr w:type="gramStart"/>
            <w:r w:rsidRPr="00D61E32">
              <w:rPr>
                <w:rFonts w:ascii="Century Gothic" w:eastAsia="Times New Roman" w:hAnsi="Century Gothic" w:cs="Arial"/>
              </w:rPr>
              <w:t>are able to</w:t>
            </w:r>
            <w:proofErr w:type="gramEnd"/>
            <w:r w:rsidRPr="00D61E32">
              <w:rPr>
                <w:rFonts w:ascii="Century Gothic" w:eastAsia="Times New Roman" w:hAnsi="Century Gothic" w:cs="Arial"/>
              </w:rPr>
              <w:t xml:space="preserve"> negotiate higher reimbursement. Cigna measures accessibility of care to behavioral (prescriber and non-prescriber), PCP, and High- Impact/High-Volume SPC providers using findings from customer surveys and complaints, and by measuring results against the accessibility standards and metrics annually. Cigna uses the continuous quality improvement (“CQI”) process to identify opportunities for improvement and when network adequacy gaps are identified and brought to the attention of the Behavioral Health Provider Operations Program Management Team (for either provider or facility). That team </w:t>
            </w:r>
            <w:proofErr w:type="gramStart"/>
            <w:r w:rsidRPr="00D61E32">
              <w:rPr>
                <w:rFonts w:ascii="Century Gothic" w:eastAsia="Times New Roman" w:hAnsi="Century Gothic" w:cs="Arial"/>
              </w:rPr>
              <w:t>researches</w:t>
            </w:r>
            <w:proofErr w:type="gramEnd"/>
            <w:r w:rsidRPr="00D61E32">
              <w:rPr>
                <w:rFonts w:ascii="Century Gothic" w:eastAsia="Times New Roman" w:hAnsi="Century Gothic" w:cs="Arial"/>
              </w:rPr>
              <w:t xml:space="preserve"> available providers and prioritizes recruitment efforts.  The recruitment timeline is as follows:</w:t>
            </w:r>
          </w:p>
          <w:p w14:paraId="16AF7315"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If Cigna identifies a network adequacy deficiency, it attempts to remediate the deficiency.  The identified potential provider may decline participation in the network or may not respond to recruitment efforts. If Cigna identifies a non-contracted provider needed for adequacy/accessibility, it may offer higher rates than what would otherwise be standard </w:t>
            </w:r>
            <w:proofErr w:type="gramStart"/>
            <w:r w:rsidRPr="00D61E32">
              <w:rPr>
                <w:rFonts w:ascii="Century Gothic" w:eastAsia="Times New Roman" w:hAnsi="Century Gothic" w:cs="Arial"/>
              </w:rPr>
              <w:t>in order to</w:t>
            </w:r>
            <w:proofErr w:type="gramEnd"/>
            <w:r w:rsidRPr="00D61E32">
              <w:rPr>
                <w:rFonts w:ascii="Century Gothic" w:eastAsia="Times New Roman" w:hAnsi="Century Gothic" w:cs="Arial"/>
              </w:rPr>
              <w:t xml:space="preserve"> close the gap.  NCQA does not prescribe goals for geo access. Cigna uses a 90% standard, which aligns with CMS network adequacy requirements, which </w:t>
            </w:r>
            <w:proofErr w:type="gramStart"/>
            <w:r w:rsidRPr="00D61E32">
              <w:rPr>
                <w:rFonts w:ascii="Century Gothic" w:eastAsia="Times New Roman" w:hAnsi="Century Gothic" w:cs="Arial"/>
              </w:rPr>
              <w:t>require</w:t>
            </w:r>
            <w:proofErr w:type="gramEnd"/>
            <w:r w:rsidRPr="00D61E32">
              <w:rPr>
                <w:rFonts w:ascii="Century Gothic" w:eastAsia="Times New Roman" w:hAnsi="Century Gothic" w:cs="Arial"/>
              </w:rPr>
              <w:t xml:space="preserve"> that 90% of customers have access to providers based on network adequacy access requirements for time and distance standards. </w:t>
            </w:r>
          </w:p>
          <w:p w14:paraId="63DEB648"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 monitors network adequacy on at least an annual basis and creates recruitment and corrective action plans to address any deficiencies. In many instances, deficiencies are a result of insufficient availability of providers/facilities. Both MH/SUD and M/S networks are held to the same 90% standard. In most instances inability to meet the 90% threshold is related to insufficient provider availability. Lack of providers/facilities tends to impact behavioral more than medical. Cigna actively recruits providers in areas where there may be access deficiencies. In some cases, not enough providers exist </w:t>
            </w:r>
            <w:proofErr w:type="gramStart"/>
            <w:r w:rsidRPr="00D61E32">
              <w:rPr>
                <w:rFonts w:ascii="Century Gothic" w:eastAsia="Times New Roman" w:hAnsi="Century Gothic" w:cs="Arial"/>
              </w:rPr>
              <w:t>in a given</w:t>
            </w:r>
            <w:proofErr w:type="gramEnd"/>
            <w:r w:rsidRPr="00D61E32">
              <w:rPr>
                <w:rFonts w:ascii="Century Gothic" w:eastAsia="Times New Roman" w:hAnsi="Century Gothic" w:cs="Arial"/>
              </w:rPr>
              <w:t xml:space="preserve"> geographic area and thus Cigna cannot meet a network adequacy standard due to provider unavailability. In such situations, Cigna takes steps to ensure that an enrollee in a plan using this network would be able to receive medically necessary services from an out of network provider, and the services would be treated as in-network for purposes of cost-sharing or other requirements.</w:t>
            </w:r>
          </w:p>
          <w:p w14:paraId="41193039" w14:textId="77777777" w:rsidR="007C1A22" w:rsidRPr="00D61E32" w:rsidRDefault="007C1A22" w:rsidP="007C1A22">
            <w:pPr>
              <w:spacing w:after="0" w:line="240" w:lineRule="auto"/>
              <w:ind w:left="1425"/>
              <w:rPr>
                <w:rFonts w:ascii="Century Gothic" w:eastAsia="Times New Roman" w:hAnsi="Century Gothic" w:cs="Arial"/>
                <w:b/>
                <w:bCs/>
              </w:rPr>
            </w:pPr>
          </w:p>
        </w:tc>
        <w:tc>
          <w:tcPr>
            <w:tcW w:w="2524" w:type="pct"/>
            <w:tcBorders>
              <w:top w:val="single" w:sz="4" w:space="0" w:color="auto"/>
              <w:left w:val="single" w:sz="4" w:space="0" w:color="auto"/>
              <w:bottom w:val="single" w:sz="4" w:space="0" w:color="auto"/>
              <w:right w:val="single" w:sz="4" w:space="0" w:color="auto"/>
            </w:tcBorders>
          </w:tcPr>
          <w:p w14:paraId="7E5BC6D5"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b/>
                <w:bCs/>
              </w:rPr>
              <w:t xml:space="preserve">Network Adequacy: </w:t>
            </w:r>
          </w:p>
          <w:p w14:paraId="21E7C833" w14:textId="77777777" w:rsidR="007C1A22" w:rsidRPr="00D61E32" w:rsidRDefault="007C1A22" w:rsidP="007C1A22">
            <w:pPr>
              <w:spacing w:after="0" w:line="240" w:lineRule="auto"/>
              <w:rPr>
                <w:rFonts w:ascii="Century Gothic" w:eastAsia="Times New Roman" w:hAnsi="Century Gothic" w:cs="Arial"/>
                <w:b/>
                <w:bCs/>
              </w:rPr>
            </w:pPr>
          </w:p>
        </w:tc>
      </w:tr>
      <w:tr w:rsidR="007C1A22" w:rsidRPr="00D61E32" w14:paraId="4DBD9654" w14:textId="77777777" w:rsidTr="004D49C2">
        <w:trPr>
          <w:trHeight w:val="1070"/>
        </w:trPr>
        <w:tc>
          <w:tcPr>
            <w:tcW w:w="2476" w:type="pct"/>
            <w:tcBorders>
              <w:top w:val="single" w:sz="4" w:space="0" w:color="auto"/>
              <w:left w:val="single" w:sz="4" w:space="0" w:color="auto"/>
              <w:bottom w:val="single" w:sz="4" w:space="0" w:color="auto"/>
              <w:right w:val="single" w:sz="4" w:space="0" w:color="auto"/>
            </w:tcBorders>
          </w:tcPr>
          <w:p w14:paraId="6FDF4D19"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 xml:space="preserve">Credentialing: </w:t>
            </w:r>
          </w:p>
          <w:p w14:paraId="0DD10704"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Cigna's methodology for credentialing for M/S and MH/SUD physician providers are the same. Cigna credentialing standards for licensed physicians </w:t>
            </w:r>
            <w:proofErr w:type="gramStart"/>
            <w:r w:rsidRPr="00D61E32">
              <w:rPr>
                <w:rFonts w:ascii="Century Gothic" w:eastAsia="Times New Roman" w:hAnsi="Century Gothic" w:cs="Arial"/>
              </w:rPr>
              <w:t>follows</w:t>
            </w:r>
            <w:proofErr w:type="gramEnd"/>
            <w:r w:rsidRPr="00D61E32">
              <w:rPr>
                <w:rFonts w:ascii="Century Gothic" w:eastAsia="Times New Roman" w:hAnsi="Century Gothic" w:cs="Arial"/>
              </w:rPr>
              <w:t xml:space="preserve"> NCQA, CMS, state and federal requirements and guidelines for each provider and/or specialty type. Cigna does not maintain separate standards for MH/SUD providers. Moreover, the standard credentialing process is used for both licensed physician providers and licensed non-physician providers, whether they are M/S or MH/SUD providers.  Re-credentialing is required every three years for all providers, and except for work history and education and training verification,  requires providers to meet the same criteria as the initial credentialing process, unless a new specialty is being requested. </w:t>
            </w:r>
          </w:p>
          <w:p w14:paraId="4E87E0C2"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The credentialing application process is consistent between physicians and facilities providing M/S and MH/SUD services and the required licensing, experience, CAQH application and verifications are indistinguishable. No additional Cigna-specific credentialing requirements are applied to either M/S or MH/SUD physician providers, and, as relevant for certain MH/SUD services or specialties, Cigna does not require that MH/SUD practitioners or facilities be licensed or accredited if such a license or accreditation would not be required by state law.  Consistency in credentialing standards and process </w:t>
            </w:r>
            <w:proofErr w:type="gramStart"/>
            <w:r w:rsidRPr="00D61E32">
              <w:rPr>
                <w:rFonts w:ascii="Century Gothic" w:eastAsia="Times New Roman" w:hAnsi="Century Gothic" w:cs="Arial"/>
              </w:rPr>
              <w:t>evidences</w:t>
            </w:r>
            <w:proofErr w:type="gramEnd"/>
            <w:r w:rsidRPr="00D61E32">
              <w:rPr>
                <w:rFonts w:ascii="Century Gothic" w:eastAsia="Times New Roman" w:hAnsi="Century Gothic" w:cs="Arial"/>
              </w:rPr>
              <w:t xml:space="preserve"> compliance with the NQTL in-writing requirement.</w:t>
            </w:r>
          </w:p>
        </w:tc>
        <w:tc>
          <w:tcPr>
            <w:tcW w:w="2524" w:type="pct"/>
            <w:tcBorders>
              <w:top w:val="single" w:sz="4" w:space="0" w:color="auto"/>
              <w:left w:val="single" w:sz="4" w:space="0" w:color="auto"/>
              <w:bottom w:val="single" w:sz="4" w:space="0" w:color="auto"/>
              <w:right w:val="single" w:sz="4" w:space="0" w:color="auto"/>
            </w:tcBorders>
            <w:hideMark/>
          </w:tcPr>
          <w:p w14:paraId="4DC65BD3"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b/>
                <w:bCs/>
              </w:rPr>
              <w:t xml:space="preserve">Credentialing: </w:t>
            </w:r>
          </w:p>
        </w:tc>
      </w:tr>
      <w:tr w:rsidR="007C1A22" w:rsidRPr="00D61E32" w14:paraId="291FF7FC" w14:textId="77777777" w:rsidTr="004D49C2">
        <w:trPr>
          <w:trHeight w:val="82"/>
        </w:trPr>
        <w:tc>
          <w:tcPr>
            <w:tcW w:w="2476" w:type="pct"/>
            <w:tcBorders>
              <w:top w:val="single" w:sz="4" w:space="0" w:color="auto"/>
              <w:left w:val="single" w:sz="4" w:space="0" w:color="auto"/>
              <w:bottom w:val="single" w:sz="4" w:space="0" w:color="auto"/>
              <w:right w:val="single" w:sz="4" w:space="0" w:color="auto"/>
            </w:tcBorders>
          </w:tcPr>
          <w:p w14:paraId="7D3CE4D6"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Provider Reimbursement</w:t>
            </w:r>
          </w:p>
          <w:p w14:paraId="0E9B5949"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 xml:space="preserve">Whether for initial negotiation or renegotiation, Cigna uses its standard in-network provider reimbursement methodology for MH/SUD and M/S providers. Network adequacy deficiencies (Network Need) </w:t>
            </w:r>
            <w:proofErr w:type="gramStart"/>
            <w:r w:rsidRPr="00D61E32">
              <w:rPr>
                <w:rFonts w:ascii="Century Gothic" w:eastAsia="Times New Roman" w:hAnsi="Century Gothic" w:cs="Arial"/>
              </w:rPr>
              <w:t>is</w:t>
            </w:r>
            <w:proofErr w:type="gramEnd"/>
            <w:r w:rsidRPr="00D61E32">
              <w:rPr>
                <w:rFonts w:ascii="Century Gothic" w:eastAsia="Times New Roman" w:hAnsi="Century Gothic" w:cs="Arial"/>
              </w:rPr>
              <w:t xml:space="preserve"> always considered when negotiating reimbursement rates. Standard reimbursement rates for inpatient and outpatient services for both M/S and MH/SUD providers are set based upon standard fee schedules, which are developed for facilities, physicians and non-physicians by state or region and reflect geographic variations within that state or region.  Provider-specific fee schedules are developed based upon the professional or facility’s negotiation request or business need, including the satisfaction of network adequacy requirements. Cigna's preferred standard is to reimburse the same rates across all plans/products. M/S contracts have the option to pay plans differently, while BH pays the same for all plans. This approach provides more favorable rates for MH/SUD providers. For example, BH pays the same rate for a Medicare provider as it does for a commercial provider. Rates may be negotiated differently depending upon </w:t>
            </w:r>
            <w:proofErr w:type="gramStart"/>
            <w:r w:rsidRPr="00D61E32">
              <w:rPr>
                <w:rFonts w:ascii="Century Gothic" w:eastAsia="Times New Roman" w:hAnsi="Century Gothic" w:cs="Arial"/>
              </w:rPr>
              <w:t>plan</w:t>
            </w:r>
            <w:proofErr w:type="gramEnd"/>
            <w:r w:rsidRPr="00D61E32">
              <w:rPr>
                <w:rFonts w:ascii="Century Gothic" w:eastAsia="Times New Roman" w:hAnsi="Century Gothic" w:cs="Arial"/>
              </w:rPr>
              <w:t xml:space="preserve"> if requested.</w:t>
            </w:r>
          </w:p>
          <w:p w14:paraId="08551606" w14:textId="77777777" w:rsidR="007C1A22" w:rsidRPr="00D61E32" w:rsidRDefault="007C1A22" w:rsidP="007C1A22">
            <w:pPr>
              <w:spacing w:after="0" w:line="240" w:lineRule="auto"/>
              <w:rPr>
                <w:rFonts w:ascii="Century Gothic" w:eastAsia="Times New Roman" w:hAnsi="Century Gothic" w:cs="Arial"/>
              </w:rPr>
            </w:pPr>
            <w:r w:rsidRPr="00D61E32">
              <w:rPr>
                <w:rFonts w:ascii="Century Gothic" w:eastAsia="Times New Roman" w:hAnsi="Century Gothic" w:cs="Arial"/>
              </w:rPr>
              <w:t>In determining any rate in both the M/S and MH/SUD facility agreements, Cigna assesses supply and demand of provider types and/or specialties based upon the same indicators including, but not limited to NCQA network adequacy and access standards focused on distribution of provider types within geographic regions (i.e. zip codes); plan population density within geographic regions (i.e. zip codes); time and/or distance to access provider type within urban, suburban and rural areas; appointment wait times for emergent, urgent and routine visits; customer satisfaction surveys; and customer complaint data.  That is, Cigna's reimbursement rate development and negotiation processes are ultimately designed to ensure achievement of its adequacy standards for MH/SUD and M/S providers, and any departure from the standard fee schedules is informed by market demand, which may include, for example, the need to maintain, or achieve, network adequacy for a provider type in a particular geographic area.</w:t>
            </w:r>
          </w:p>
          <w:p w14:paraId="390FA2C2" w14:textId="77777777" w:rsidR="007C1A22" w:rsidRPr="00D61E32" w:rsidRDefault="007C1A22" w:rsidP="007C1A22">
            <w:pPr>
              <w:spacing w:after="0" w:line="240" w:lineRule="auto"/>
              <w:rPr>
                <w:rFonts w:ascii="Century Gothic" w:eastAsia="Times New Roman" w:hAnsi="Century Gothic" w:cs="Arial"/>
                <w:bCs/>
                <w:i/>
                <w:iCs/>
                <w:u w:val="single"/>
              </w:rPr>
            </w:pPr>
            <w:r w:rsidRPr="00D61E32">
              <w:rPr>
                <w:rFonts w:ascii="Century Gothic" w:eastAsia="Times New Roman" w:hAnsi="Century Gothic" w:cs="Arial"/>
                <w:bCs/>
                <w:i/>
                <w:iCs/>
                <w:u w:val="single"/>
              </w:rPr>
              <w:t>Facility Reimbursement – Inpatient</w:t>
            </w:r>
          </w:p>
          <w:p w14:paraId="27E3B36F" w14:textId="77777777" w:rsidR="007C1A22" w:rsidRPr="00D61E32" w:rsidRDefault="007C1A22" w:rsidP="007C1A22">
            <w:pPr>
              <w:spacing w:after="0" w:line="240" w:lineRule="auto"/>
              <w:rPr>
                <w:rFonts w:ascii="Century Gothic" w:eastAsia="Times New Roman" w:hAnsi="Century Gothic" w:cs="Arial"/>
                <w:bCs/>
              </w:rPr>
            </w:pPr>
            <w:r w:rsidRPr="00D61E32">
              <w:rPr>
                <w:rFonts w:ascii="Century Gothic" w:eastAsia="Times New Roman" w:hAnsi="Century Gothic" w:cs="Arial"/>
                <w:bCs/>
              </w:rPr>
              <w:t>In-network facility-based services which are not reimbursed on an assigned diagnosis-related group (DRG</w:t>
            </w:r>
            <w:proofErr w:type="gramStart"/>
            <w:r w:rsidRPr="00D61E32">
              <w:rPr>
                <w:rFonts w:ascii="Century Gothic" w:eastAsia="Times New Roman" w:hAnsi="Century Gothic" w:cs="Arial"/>
                <w:bCs/>
              </w:rPr>
              <w:t>)</w:t>
            </w:r>
            <w:proofErr w:type="gramEnd"/>
            <w:r w:rsidRPr="00D61E32">
              <w:rPr>
                <w:rFonts w:ascii="Century Gothic" w:eastAsia="Times New Roman" w:hAnsi="Century Gothic" w:cs="Arial"/>
                <w:bCs/>
              </w:rPr>
              <w:t xml:space="preserve"> or case rate basis may generally be reimbursed on a per diem or discount basis.  Currently, M/S has many more DRG contracts while a small minority of MH/SUD contracts are paid as DRG or case rate.   Specifically, M/S paid just under 60% of admissions last year under DRGs and 20% as per-diem, and 20% as a percent of charges.   MH/SUD are essentially 100% per-diem, as MH/SUD contracts do not have any significant case rates or </w:t>
            </w:r>
            <w:proofErr w:type="gramStart"/>
            <w:r w:rsidRPr="00D61E32">
              <w:rPr>
                <w:rFonts w:ascii="Century Gothic" w:eastAsia="Times New Roman" w:hAnsi="Century Gothic" w:cs="Arial"/>
                <w:bCs/>
              </w:rPr>
              <w:t>percent</w:t>
            </w:r>
            <w:proofErr w:type="gramEnd"/>
            <w:r w:rsidRPr="00D61E32">
              <w:rPr>
                <w:rFonts w:ascii="Century Gothic" w:eastAsia="Times New Roman" w:hAnsi="Century Gothic" w:cs="Arial"/>
                <w:bCs/>
              </w:rPr>
              <w:t xml:space="preserve"> of charges contracts.    DRG (i.e. case rate) reimbursement rates generally do not exist for MH/SUD in-network inpatient services because unlike certain routine medical inpatient procedures (i.e. vaginal deliveries; cesarean deliveries; appendectomies, etc.), MH/SUD inpatient stays vary depending upon the unique clinical needs, circumstances and complexities of the individual patient (i.e. patient’s insight or lack of insight into their illness; patient motivation to receive treatment; comorbidity, etc. </w:t>
            </w:r>
          </w:p>
          <w:p w14:paraId="4F33D306" w14:textId="77777777" w:rsidR="007C1A22" w:rsidRPr="00D61E32" w:rsidRDefault="007C1A22" w:rsidP="007C1A22">
            <w:pPr>
              <w:spacing w:after="0" w:line="240" w:lineRule="auto"/>
              <w:rPr>
                <w:rFonts w:ascii="Century Gothic" w:eastAsia="Times New Roman" w:hAnsi="Century Gothic" w:cs="Arial"/>
                <w:bCs/>
              </w:rPr>
            </w:pPr>
            <w:r w:rsidRPr="00D61E32">
              <w:rPr>
                <w:rFonts w:ascii="Century Gothic" w:eastAsia="Times New Roman" w:hAnsi="Century Gothic" w:cs="Arial"/>
                <w:bCs/>
              </w:rPr>
              <w:t>Per diem reimbursement for both M/S and MH/SUD facility-based services are based upon the following factors and accompanying evidentiary standards: (1) geographic market, which may be adjusted based upon Medicare Geographical Practice Cost Index (“GPCI”); (2) type of provider and/or specialty (e.g. physician practitioner v. non-physician practitioner v. facility); (3) supply of provider type and/or specialty; (4) network need and/or demand for provider type and/or specialty; (5) Medicare reimbursement rates for codes with assigned Medicare Relative Value Unit (“RVU”); and (6) Training, experience and licensure of providers billing for professional services under the facility agreement.</w:t>
            </w:r>
          </w:p>
          <w:p w14:paraId="5A5FCCD7"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Cs/>
              </w:rPr>
              <w:t xml:space="preserve">Cigna's methodology and process for negotiating in-network provider reimbursements for M/S and MH/SUD services within a classification of benefits are comparable and no more stringent for MH/SUD services than for M/S services within the same classification of benefits as written. Cigna also follows a comparable process in determining payment rates for non-physician providers for both M/S and MH/SUD benefits. While there is variation in type of reimbursement methodology for facility reimbursement, Cigna’s Network Providers choose which methodology (DRG, Per Diem or Case Rate) will apply and the processes, </w:t>
            </w:r>
            <w:proofErr w:type="gramStart"/>
            <w:r w:rsidRPr="00D61E32">
              <w:rPr>
                <w:rFonts w:ascii="Century Gothic" w:eastAsia="Times New Roman" w:hAnsi="Century Gothic" w:cs="Arial"/>
                <w:bCs/>
              </w:rPr>
              <w:t>factors</w:t>
            </w:r>
            <w:proofErr w:type="gramEnd"/>
            <w:r w:rsidRPr="00D61E32">
              <w:rPr>
                <w:rFonts w:ascii="Century Gothic" w:eastAsia="Times New Roman" w:hAnsi="Century Gothic" w:cs="Arial"/>
                <w:bCs/>
              </w:rPr>
              <w:t xml:space="preserve"> and evidentiary standards applicable to each methodology is applied to M/S and MH/SUD providers consistently.  In this process, variables including market demand, provider specialty and availability and frequency of requests for provider fee increases may result in differentials in reimbursement rates across medical/surgical and MH/SUD provider types</w:t>
            </w:r>
            <w:r w:rsidRPr="00D61E32">
              <w:rPr>
                <w:rFonts w:ascii="Century Gothic" w:eastAsia="Times New Roman" w:hAnsi="Century Gothic" w:cs="Arial"/>
                <w:b/>
              </w:rPr>
              <w:t>.</w:t>
            </w:r>
          </w:p>
          <w:p w14:paraId="27E4386E" w14:textId="77777777" w:rsidR="007C1A22" w:rsidRPr="00D61E32" w:rsidRDefault="007C1A22" w:rsidP="007C1A22">
            <w:pPr>
              <w:spacing w:after="0" w:line="240" w:lineRule="auto"/>
              <w:rPr>
                <w:rFonts w:ascii="Century Gothic" w:eastAsia="Times New Roman" w:hAnsi="Century Gothic" w:cs="Arial"/>
                <w:b/>
              </w:rPr>
            </w:pPr>
          </w:p>
        </w:tc>
        <w:tc>
          <w:tcPr>
            <w:tcW w:w="2524" w:type="pct"/>
            <w:tcBorders>
              <w:top w:val="single" w:sz="4" w:space="0" w:color="auto"/>
              <w:left w:val="single" w:sz="4" w:space="0" w:color="auto"/>
              <w:bottom w:val="single" w:sz="4" w:space="0" w:color="auto"/>
              <w:right w:val="single" w:sz="4" w:space="0" w:color="auto"/>
            </w:tcBorders>
          </w:tcPr>
          <w:p w14:paraId="7955A04F"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Provider Reimbursement</w:t>
            </w:r>
          </w:p>
          <w:p w14:paraId="64F3FA6C" w14:textId="77777777" w:rsidR="007C1A22" w:rsidRPr="00D61E32" w:rsidRDefault="007C1A22" w:rsidP="007C1A22">
            <w:pPr>
              <w:spacing w:after="0" w:line="240" w:lineRule="auto"/>
              <w:rPr>
                <w:rFonts w:ascii="Century Gothic" w:eastAsia="Times New Roman" w:hAnsi="Century Gothic" w:cs="Arial"/>
                <w:b/>
              </w:rPr>
            </w:pPr>
          </w:p>
          <w:p w14:paraId="7EDAE7A8" w14:textId="77777777" w:rsidR="007C1A22" w:rsidRPr="00D61E32" w:rsidRDefault="007C1A22" w:rsidP="007C1A22">
            <w:pPr>
              <w:spacing w:after="0" w:line="240" w:lineRule="auto"/>
              <w:rPr>
                <w:rFonts w:ascii="Century Gothic" w:eastAsia="Times New Roman" w:hAnsi="Century Gothic" w:cs="Arial"/>
                <w:b/>
                <w:bCs/>
              </w:rPr>
            </w:pPr>
          </w:p>
          <w:p w14:paraId="2EF623D9" w14:textId="77777777" w:rsidR="007C1A22" w:rsidRPr="00D61E32" w:rsidRDefault="007C1A22" w:rsidP="007C1A22">
            <w:pPr>
              <w:spacing w:after="0" w:line="240" w:lineRule="auto"/>
              <w:rPr>
                <w:rFonts w:ascii="Century Gothic" w:eastAsia="Times New Roman" w:hAnsi="Century Gothic" w:cs="Arial"/>
                <w:b/>
                <w:bCs/>
              </w:rPr>
            </w:pPr>
          </w:p>
          <w:p w14:paraId="33CA1393" w14:textId="77777777" w:rsidR="007C1A22" w:rsidRPr="00D61E32" w:rsidRDefault="007C1A22" w:rsidP="007C1A22">
            <w:pPr>
              <w:spacing w:after="0" w:line="240" w:lineRule="auto"/>
              <w:rPr>
                <w:rFonts w:ascii="Century Gothic" w:eastAsia="Times New Roman" w:hAnsi="Century Gothic" w:cs="Arial"/>
                <w:b/>
                <w:bCs/>
              </w:rPr>
            </w:pPr>
          </w:p>
          <w:p w14:paraId="6A5DBCC6" w14:textId="77777777" w:rsidR="007C1A22" w:rsidRPr="00D61E32" w:rsidRDefault="007C1A22" w:rsidP="007C1A22">
            <w:pPr>
              <w:spacing w:after="240" w:line="264" w:lineRule="auto"/>
              <w:rPr>
                <w:rFonts w:ascii="Century Gothic" w:eastAsia="Calibri" w:hAnsi="Century Gothic" w:cs="Arial"/>
              </w:rPr>
            </w:pPr>
          </w:p>
        </w:tc>
      </w:tr>
      <w:tr w:rsidR="007C1A22" w:rsidRPr="00D61E32" w14:paraId="4841E1B8" w14:textId="77777777" w:rsidTr="004D49C2">
        <w:trPr>
          <w:trHeight w:val="386"/>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cPr>
          <w:p w14:paraId="4A794248" w14:textId="77777777" w:rsidR="007C1A22" w:rsidRPr="00D61E32" w:rsidRDefault="007C1A22" w:rsidP="007C1A22">
            <w:pPr>
              <w:spacing w:after="0" w:line="240" w:lineRule="auto"/>
              <w:rPr>
                <w:rFonts w:ascii="Century Gothic" w:eastAsia="Times New Roman" w:hAnsi="Century Gothic" w:cs="Arial"/>
                <w:b/>
              </w:rPr>
            </w:pPr>
          </w:p>
          <w:p w14:paraId="28F0A5CA"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 xml:space="preserve">In Operation Analysis </w:t>
            </w:r>
          </w:p>
          <w:p w14:paraId="331503DC" w14:textId="77777777" w:rsidR="007C1A22" w:rsidRPr="00D61E32" w:rsidRDefault="007C1A22" w:rsidP="007C1A22">
            <w:pPr>
              <w:spacing w:after="0" w:line="240" w:lineRule="auto"/>
              <w:rPr>
                <w:rFonts w:ascii="Century Gothic" w:eastAsia="Times New Roman" w:hAnsi="Century Gothic" w:cs="Arial"/>
                <w:b/>
              </w:rPr>
            </w:pPr>
          </w:p>
        </w:tc>
      </w:tr>
      <w:tr w:rsidR="007C1A22" w:rsidRPr="00D61E32" w14:paraId="06E36540" w14:textId="77777777" w:rsidTr="004D49C2">
        <w:trPr>
          <w:trHeight w:val="82"/>
        </w:trPr>
        <w:tc>
          <w:tcPr>
            <w:tcW w:w="2476" w:type="pct"/>
            <w:tcBorders>
              <w:top w:val="single" w:sz="4" w:space="0" w:color="auto"/>
              <w:left w:val="single" w:sz="4" w:space="0" w:color="auto"/>
              <w:bottom w:val="single" w:sz="4" w:space="0" w:color="auto"/>
              <w:right w:val="single" w:sz="4" w:space="0" w:color="auto"/>
            </w:tcBorders>
          </w:tcPr>
          <w:p w14:paraId="227D1EAC"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 xml:space="preserve">In operation – data </w:t>
            </w:r>
          </w:p>
          <w:p w14:paraId="0402AC5A"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 xml:space="preserve">M/S: </w:t>
            </w:r>
          </w:p>
          <w:p w14:paraId="759AB635" w14:textId="77777777" w:rsidR="007C1A22" w:rsidRPr="00D61E32" w:rsidRDefault="007C1A22" w:rsidP="007C1A22">
            <w:pPr>
              <w:spacing w:after="0" w:line="240" w:lineRule="auto"/>
              <w:rPr>
                <w:rFonts w:ascii="Century Gothic" w:eastAsia="Times New Roman" w:hAnsi="Century Gothic" w:cs="Arial"/>
                <w:b/>
              </w:rPr>
            </w:pPr>
          </w:p>
          <w:p w14:paraId="4B4D1454" w14:textId="77777777" w:rsidR="007C1A22" w:rsidRPr="00D61E32" w:rsidRDefault="007C1A22" w:rsidP="007C1A22">
            <w:pPr>
              <w:spacing w:after="0" w:line="240" w:lineRule="auto"/>
              <w:rPr>
                <w:rFonts w:ascii="Century Gothic" w:eastAsia="Times New Roman" w:hAnsi="Century Gothic" w:cs="Arial"/>
                <w:bCs/>
              </w:rPr>
            </w:pPr>
            <w:r w:rsidRPr="00D61E32">
              <w:rPr>
                <w:rFonts w:ascii="Century Gothic" w:eastAsia="Times New Roman" w:hAnsi="Century Gothic" w:cs="Arial"/>
                <w:bCs/>
              </w:rPr>
              <w:t xml:space="preserve">This comparative analysis was drafted based on Cigna Credentialing and Network Access Reporting provided below. </w:t>
            </w:r>
          </w:p>
          <w:p w14:paraId="6711A4C4" w14:textId="77777777" w:rsidR="007C1A22" w:rsidRPr="00D61E32" w:rsidRDefault="007C1A22" w:rsidP="007C1A22">
            <w:pPr>
              <w:spacing w:after="0" w:line="240" w:lineRule="auto"/>
              <w:rPr>
                <w:rFonts w:ascii="Century Gothic" w:eastAsia="Times New Roman" w:hAnsi="Century Gothic" w:cs="Arial"/>
                <w:b/>
              </w:rPr>
            </w:pPr>
          </w:p>
          <w:p w14:paraId="12914E11" w14:textId="77777777" w:rsidR="007C1A22" w:rsidRPr="00D61E32" w:rsidRDefault="007C1A22" w:rsidP="007C1A22">
            <w:pPr>
              <w:spacing w:after="0" w:line="240" w:lineRule="auto"/>
              <w:rPr>
                <w:rFonts w:ascii="Century Gothic" w:eastAsia="Times New Roman" w:hAnsi="Century Gothic" w:cs="Arial"/>
                <w:b/>
              </w:rPr>
            </w:pPr>
          </w:p>
          <w:tbl>
            <w:tblPr>
              <w:tblW w:w="4442" w:type="dxa"/>
              <w:tblLook w:val="04A0" w:firstRow="1" w:lastRow="0" w:firstColumn="1" w:lastColumn="0" w:noHBand="0" w:noVBand="1"/>
            </w:tblPr>
            <w:tblGrid>
              <w:gridCol w:w="1839"/>
              <w:gridCol w:w="3004"/>
            </w:tblGrid>
            <w:tr w:rsidR="007C1A22" w:rsidRPr="00D61E32" w14:paraId="26F664CA" w14:textId="77777777" w:rsidTr="00634DDE">
              <w:trPr>
                <w:trHeight w:val="381"/>
              </w:trPr>
              <w:tc>
                <w:tcPr>
                  <w:tcW w:w="113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B6CAF33" w14:textId="77777777" w:rsidR="007C1A22" w:rsidRPr="00D61E32" w:rsidRDefault="007C1A22" w:rsidP="007C1A22">
                  <w:pPr>
                    <w:spacing w:after="0" w:line="240" w:lineRule="auto"/>
                    <w:jc w:val="center"/>
                    <w:rPr>
                      <w:rFonts w:ascii="Century Gothic" w:eastAsia="Times New Roman" w:hAnsi="Century Gothic" w:cs="Arial"/>
                      <w:b/>
                      <w:bCs/>
                      <w:color w:val="000000"/>
                    </w:rPr>
                  </w:pPr>
                  <w:r w:rsidRPr="00D61E32">
                    <w:rPr>
                      <w:rFonts w:ascii="Century Gothic" w:eastAsia="Times New Roman" w:hAnsi="Century Gothic" w:cs="Arial"/>
                      <w:b/>
                      <w:bCs/>
                      <w:color w:val="000000"/>
                    </w:rPr>
                    <w:t>Metric</w:t>
                  </w:r>
                </w:p>
              </w:tc>
              <w:tc>
                <w:tcPr>
                  <w:tcW w:w="3307" w:type="dxa"/>
                  <w:tcBorders>
                    <w:top w:val="single" w:sz="4" w:space="0" w:color="auto"/>
                    <w:left w:val="nil"/>
                    <w:bottom w:val="single" w:sz="4" w:space="0" w:color="auto"/>
                    <w:right w:val="single" w:sz="4" w:space="0" w:color="auto"/>
                  </w:tcBorders>
                  <w:shd w:val="clear" w:color="auto" w:fill="BFBFBF"/>
                  <w:noWrap/>
                  <w:vAlign w:val="center"/>
                  <w:hideMark/>
                </w:tcPr>
                <w:p w14:paraId="438A2D3D" w14:textId="77777777" w:rsidR="007C1A22" w:rsidRPr="00D61E32" w:rsidRDefault="007C1A22" w:rsidP="007C1A22">
                  <w:pPr>
                    <w:spacing w:after="0" w:line="240" w:lineRule="auto"/>
                    <w:jc w:val="center"/>
                    <w:rPr>
                      <w:rFonts w:ascii="Century Gothic" w:eastAsia="Times New Roman" w:hAnsi="Century Gothic" w:cs="Arial"/>
                      <w:b/>
                      <w:bCs/>
                      <w:color w:val="000000"/>
                    </w:rPr>
                  </w:pPr>
                  <w:r w:rsidRPr="00D61E32">
                    <w:rPr>
                      <w:rFonts w:ascii="Century Gothic" w:eastAsia="Times New Roman" w:hAnsi="Century Gothic" w:cs="Arial"/>
                      <w:b/>
                      <w:bCs/>
                      <w:color w:val="000000"/>
                    </w:rPr>
                    <w:t>Medical</w:t>
                  </w:r>
                </w:p>
              </w:tc>
            </w:tr>
            <w:tr w:rsidR="007C1A22" w:rsidRPr="00D61E32" w14:paraId="20CE93E9" w14:textId="77777777" w:rsidTr="00634DDE">
              <w:trPr>
                <w:trHeight w:val="1052"/>
              </w:trPr>
              <w:tc>
                <w:tcPr>
                  <w:tcW w:w="1135" w:type="dxa"/>
                  <w:tcBorders>
                    <w:top w:val="nil"/>
                    <w:left w:val="single" w:sz="4" w:space="0" w:color="auto"/>
                    <w:bottom w:val="single" w:sz="4" w:space="0" w:color="auto"/>
                    <w:right w:val="single" w:sz="4" w:space="0" w:color="auto"/>
                  </w:tcBorders>
                  <w:noWrap/>
                  <w:hideMark/>
                </w:tcPr>
                <w:p w14:paraId="558554E0"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 Time/Distance Report</w:t>
                  </w:r>
                </w:p>
              </w:tc>
              <w:tc>
                <w:tcPr>
                  <w:tcW w:w="3307" w:type="dxa"/>
                  <w:tcBorders>
                    <w:top w:val="nil"/>
                    <w:left w:val="nil"/>
                    <w:bottom w:val="single" w:sz="4" w:space="0" w:color="auto"/>
                    <w:right w:val="single" w:sz="4" w:space="0" w:color="auto"/>
                  </w:tcBorders>
                  <w:hideMark/>
                </w:tcPr>
                <w:p w14:paraId="7715F7C1"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 xml:space="preserve">PCP = 100% </w:t>
                  </w:r>
                  <w:r w:rsidRPr="00D61E32">
                    <w:rPr>
                      <w:rFonts w:ascii="Century Gothic" w:eastAsia="Times New Roman" w:hAnsi="Century Gothic" w:cs="Arial"/>
                      <w:b/>
                      <w:bCs/>
                      <w:color w:val="000000"/>
                    </w:rPr>
                    <w:t>(met)</w:t>
                  </w:r>
                  <w:r w:rsidRPr="00D61E32">
                    <w:rPr>
                      <w:rFonts w:ascii="Century Gothic" w:eastAsia="Times New Roman" w:hAnsi="Century Gothic" w:cs="Arial"/>
                      <w:color w:val="000000"/>
                    </w:rPr>
                    <w:br/>
                    <w:t xml:space="preserve">Specialist = 98% - 100% </w:t>
                  </w:r>
                  <w:r w:rsidRPr="00D61E32">
                    <w:rPr>
                      <w:rFonts w:ascii="Century Gothic" w:eastAsia="Times New Roman" w:hAnsi="Century Gothic" w:cs="Arial"/>
                      <w:b/>
                      <w:bCs/>
                      <w:color w:val="000000"/>
                    </w:rPr>
                    <w:t>(met)</w:t>
                  </w:r>
                </w:p>
              </w:tc>
            </w:tr>
            <w:tr w:rsidR="007C1A22" w:rsidRPr="00D61E32" w14:paraId="4A7BA3AA" w14:textId="77777777" w:rsidTr="00634DDE">
              <w:trPr>
                <w:trHeight w:val="3420"/>
              </w:trPr>
              <w:tc>
                <w:tcPr>
                  <w:tcW w:w="1135" w:type="dxa"/>
                  <w:tcBorders>
                    <w:top w:val="nil"/>
                    <w:left w:val="single" w:sz="4" w:space="0" w:color="auto"/>
                    <w:bottom w:val="single" w:sz="4" w:space="0" w:color="auto"/>
                    <w:right w:val="single" w:sz="4" w:space="0" w:color="auto"/>
                  </w:tcBorders>
                  <w:noWrap/>
                  <w:hideMark/>
                </w:tcPr>
                <w:p w14:paraId="300D2198"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Provider/Enrollee Ratio</w:t>
                  </w:r>
                </w:p>
              </w:tc>
              <w:tc>
                <w:tcPr>
                  <w:tcW w:w="3307" w:type="dxa"/>
                  <w:tcBorders>
                    <w:top w:val="nil"/>
                    <w:left w:val="nil"/>
                    <w:bottom w:val="single" w:sz="4" w:space="0" w:color="auto"/>
                    <w:right w:val="single" w:sz="4" w:space="0" w:color="auto"/>
                  </w:tcBorders>
                  <w:hideMark/>
                </w:tcPr>
                <w:p w14:paraId="02CE96CB"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 xml:space="preserve">PCP Ratio (1 PCP: 300 Members):  </w:t>
                  </w:r>
                  <w:r w:rsidRPr="00D61E32">
                    <w:rPr>
                      <w:rFonts w:ascii="Century Gothic" w:eastAsia="Times New Roman" w:hAnsi="Century Gothic" w:cs="Arial"/>
                      <w:b/>
                      <w:bCs/>
                      <w:color w:val="000000"/>
                    </w:rPr>
                    <w:t>Met</w:t>
                  </w:r>
                  <w:r w:rsidRPr="00D61E32">
                    <w:rPr>
                      <w:rFonts w:ascii="Century Gothic" w:eastAsia="Times New Roman" w:hAnsi="Century Gothic" w:cs="Arial"/>
                      <w:color w:val="000000"/>
                    </w:rPr>
                    <w:br/>
                    <w:t xml:space="preserve">Specialist Ratio </w:t>
                  </w:r>
                  <w:r w:rsidRPr="00D61E32">
                    <w:rPr>
                      <w:rFonts w:ascii="Century Gothic" w:eastAsia="Times New Roman" w:hAnsi="Century Gothic" w:cs="Arial"/>
                      <w:b/>
                      <w:bCs/>
                      <w:color w:val="000000"/>
                    </w:rPr>
                    <w:t xml:space="preserve">except </w:t>
                  </w:r>
                  <w:proofErr w:type="spellStart"/>
                  <w:r w:rsidRPr="00D61E32">
                    <w:rPr>
                      <w:rFonts w:ascii="Century Gothic" w:eastAsia="Times New Roman" w:hAnsi="Century Gothic" w:cs="Arial"/>
                      <w:color w:val="000000"/>
                    </w:rPr>
                    <w:t>ophthamology</w:t>
                  </w:r>
                  <w:proofErr w:type="spellEnd"/>
                  <w:r w:rsidRPr="00D61E32">
                    <w:rPr>
                      <w:rFonts w:ascii="Century Gothic" w:eastAsia="Times New Roman" w:hAnsi="Century Gothic" w:cs="Arial"/>
                      <w:color w:val="000000"/>
                    </w:rPr>
                    <w:t xml:space="preserve"> and OBGYN (1 Spec: 10,000 Members): </w:t>
                  </w:r>
                  <w:r w:rsidRPr="00D61E32">
                    <w:rPr>
                      <w:rFonts w:ascii="Century Gothic" w:eastAsia="Times New Roman" w:hAnsi="Century Gothic" w:cs="Arial"/>
                      <w:b/>
                      <w:bCs/>
                      <w:color w:val="000000"/>
                    </w:rPr>
                    <w:t xml:space="preserve"> Met </w:t>
                  </w:r>
                  <w:r w:rsidRPr="00D61E32">
                    <w:rPr>
                      <w:rFonts w:ascii="Century Gothic" w:eastAsia="Times New Roman" w:hAnsi="Century Gothic" w:cs="Arial"/>
                      <w:b/>
                      <w:bCs/>
                      <w:color w:val="000000"/>
                    </w:rPr>
                    <w:br/>
                  </w:r>
                  <w:r w:rsidRPr="00D61E32">
                    <w:rPr>
                      <w:rFonts w:ascii="Century Gothic" w:eastAsia="Times New Roman" w:hAnsi="Century Gothic" w:cs="Arial"/>
                      <w:color w:val="000000"/>
                    </w:rPr>
                    <w:t xml:space="preserve">Specialist Ratio </w:t>
                  </w:r>
                  <w:proofErr w:type="spellStart"/>
                  <w:r w:rsidRPr="00D61E32">
                    <w:rPr>
                      <w:rFonts w:ascii="Century Gothic" w:eastAsia="Times New Roman" w:hAnsi="Century Gothic" w:cs="Arial"/>
                      <w:color w:val="000000"/>
                    </w:rPr>
                    <w:t>ophthamology</w:t>
                  </w:r>
                  <w:proofErr w:type="spellEnd"/>
                  <w:r w:rsidRPr="00D61E32">
                    <w:rPr>
                      <w:rFonts w:ascii="Century Gothic" w:eastAsia="Times New Roman" w:hAnsi="Century Gothic" w:cs="Arial"/>
                      <w:color w:val="000000"/>
                    </w:rPr>
                    <w:t xml:space="preserve"> and OBGYN Specialist Ratio (1 Spec: 2,000 Members):  </w:t>
                  </w:r>
                  <w:r w:rsidRPr="00D61E32">
                    <w:rPr>
                      <w:rFonts w:ascii="Century Gothic" w:eastAsia="Times New Roman" w:hAnsi="Century Gothic" w:cs="Arial"/>
                      <w:b/>
                      <w:bCs/>
                      <w:color w:val="000000"/>
                    </w:rPr>
                    <w:t>Met</w:t>
                  </w:r>
                </w:p>
              </w:tc>
            </w:tr>
          </w:tbl>
          <w:p w14:paraId="04429A43" w14:textId="77777777" w:rsidR="007C1A22" w:rsidRPr="00D61E32" w:rsidRDefault="007C1A22" w:rsidP="007C1A22">
            <w:pPr>
              <w:spacing w:after="0" w:line="240" w:lineRule="auto"/>
              <w:rPr>
                <w:rFonts w:ascii="Century Gothic" w:eastAsia="Times New Roman" w:hAnsi="Century Gothic" w:cs="Arial"/>
                <w:b/>
              </w:rPr>
            </w:pPr>
          </w:p>
          <w:tbl>
            <w:tblPr>
              <w:tblW w:w="4442" w:type="dxa"/>
              <w:tblLook w:val="04A0" w:firstRow="1" w:lastRow="0" w:firstColumn="1" w:lastColumn="0" w:noHBand="0" w:noVBand="1"/>
            </w:tblPr>
            <w:tblGrid>
              <w:gridCol w:w="2030"/>
              <w:gridCol w:w="1606"/>
              <w:gridCol w:w="1207"/>
            </w:tblGrid>
            <w:tr w:rsidR="007C1A22" w:rsidRPr="00D61E32" w14:paraId="35DF06FA" w14:textId="77777777" w:rsidTr="006B5453">
              <w:trPr>
                <w:trHeight w:val="275"/>
              </w:trPr>
              <w:tc>
                <w:tcPr>
                  <w:tcW w:w="20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A24BD3B" w14:textId="77777777" w:rsidR="007C1A22" w:rsidRPr="00D61E32" w:rsidRDefault="007C1A22" w:rsidP="007C1A22">
                  <w:pPr>
                    <w:spacing w:after="0" w:line="240" w:lineRule="auto"/>
                    <w:jc w:val="center"/>
                    <w:rPr>
                      <w:rFonts w:ascii="Century Gothic" w:eastAsia="Times New Roman" w:hAnsi="Century Gothic" w:cs="Arial"/>
                      <w:b/>
                      <w:bCs/>
                      <w:color w:val="000000"/>
                    </w:rPr>
                  </w:pPr>
                  <w:bookmarkStart w:id="23" w:name="_Hlk159314819"/>
                  <w:r w:rsidRPr="00D61E32">
                    <w:rPr>
                      <w:rFonts w:ascii="Century Gothic" w:eastAsia="Times New Roman" w:hAnsi="Century Gothic" w:cs="Arial"/>
                      <w:b/>
                      <w:bCs/>
                      <w:color w:val="000000"/>
                    </w:rPr>
                    <w:t>Credentialing</w:t>
                  </w:r>
                </w:p>
              </w:tc>
              <w:tc>
                <w:tcPr>
                  <w:tcW w:w="1119" w:type="dxa"/>
                  <w:tcBorders>
                    <w:top w:val="single" w:sz="4" w:space="0" w:color="auto"/>
                    <w:left w:val="nil"/>
                    <w:bottom w:val="single" w:sz="4" w:space="0" w:color="auto"/>
                    <w:right w:val="single" w:sz="4" w:space="0" w:color="auto"/>
                  </w:tcBorders>
                  <w:shd w:val="clear" w:color="auto" w:fill="D9D9D9"/>
                  <w:noWrap/>
                  <w:hideMark/>
                </w:tcPr>
                <w:p w14:paraId="3E7C3F73" w14:textId="77777777" w:rsidR="007C1A22" w:rsidRPr="00D61E32" w:rsidRDefault="007C1A22" w:rsidP="007C1A22">
                  <w:pPr>
                    <w:spacing w:after="0" w:line="240" w:lineRule="auto"/>
                    <w:jc w:val="center"/>
                    <w:rPr>
                      <w:rFonts w:ascii="Century Gothic" w:eastAsia="Times New Roman" w:hAnsi="Century Gothic" w:cs="Arial"/>
                      <w:b/>
                      <w:bCs/>
                      <w:color w:val="000000"/>
                    </w:rPr>
                  </w:pPr>
                  <w:r w:rsidRPr="00D61E32">
                    <w:rPr>
                      <w:rFonts w:ascii="Century Gothic" w:eastAsia="Times New Roman" w:hAnsi="Century Gothic" w:cs="Arial"/>
                      <w:b/>
                      <w:bCs/>
                      <w:color w:val="000000"/>
                    </w:rPr>
                    <w:t>Medical</w:t>
                  </w:r>
                </w:p>
              </w:tc>
              <w:tc>
                <w:tcPr>
                  <w:tcW w:w="1237" w:type="dxa"/>
                  <w:tcBorders>
                    <w:top w:val="single" w:sz="4" w:space="0" w:color="auto"/>
                    <w:left w:val="nil"/>
                    <w:bottom w:val="single" w:sz="4" w:space="0" w:color="auto"/>
                    <w:right w:val="single" w:sz="4" w:space="0" w:color="auto"/>
                  </w:tcBorders>
                  <w:shd w:val="clear" w:color="auto" w:fill="D9D9D9"/>
                  <w:noWrap/>
                  <w:hideMark/>
                </w:tcPr>
                <w:p w14:paraId="3F9AEF67" w14:textId="77777777" w:rsidR="007C1A22" w:rsidRPr="00D61E32" w:rsidRDefault="007C1A22" w:rsidP="007C1A22">
                  <w:pPr>
                    <w:spacing w:after="0" w:line="240" w:lineRule="auto"/>
                    <w:jc w:val="center"/>
                    <w:rPr>
                      <w:rFonts w:ascii="Century Gothic" w:eastAsia="Times New Roman" w:hAnsi="Century Gothic" w:cs="Arial"/>
                      <w:b/>
                      <w:bCs/>
                      <w:color w:val="000000"/>
                    </w:rPr>
                  </w:pPr>
                  <w:r w:rsidRPr="00D61E32">
                    <w:rPr>
                      <w:rFonts w:ascii="Century Gothic" w:eastAsia="Times New Roman" w:hAnsi="Century Gothic" w:cs="Arial"/>
                      <w:b/>
                      <w:bCs/>
                      <w:color w:val="000000"/>
                    </w:rPr>
                    <w:t>%</w:t>
                  </w:r>
                </w:p>
              </w:tc>
            </w:tr>
            <w:tr w:rsidR="007C1A22" w:rsidRPr="00D61E32" w14:paraId="5EAA01C9" w14:textId="77777777" w:rsidTr="006B5453">
              <w:trPr>
                <w:trHeight w:val="275"/>
              </w:trPr>
              <w:tc>
                <w:tcPr>
                  <w:tcW w:w="2086" w:type="dxa"/>
                  <w:tcBorders>
                    <w:top w:val="nil"/>
                    <w:left w:val="single" w:sz="4" w:space="0" w:color="auto"/>
                    <w:bottom w:val="single" w:sz="4" w:space="0" w:color="auto"/>
                    <w:right w:val="single" w:sz="4" w:space="0" w:color="auto"/>
                  </w:tcBorders>
                  <w:noWrap/>
                  <w:hideMark/>
                </w:tcPr>
                <w:p w14:paraId="481B8660"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Total number of requests</w:t>
                  </w:r>
                </w:p>
              </w:tc>
              <w:tc>
                <w:tcPr>
                  <w:tcW w:w="1119" w:type="dxa"/>
                  <w:tcBorders>
                    <w:top w:val="nil"/>
                    <w:left w:val="nil"/>
                    <w:bottom w:val="single" w:sz="4" w:space="0" w:color="auto"/>
                    <w:right w:val="single" w:sz="4" w:space="0" w:color="auto"/>
                  </w:tcBorders>
                  <w:noWrap/>
                  <w:vAlign w:val="bottom"/>
                  <w:hideMark/>
                </w:tcPr>
                <w:p w14:paraId="62FEFDBE"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55631</w:t>
                  </w:r>
                </w:p>
              </w:tc>
              <w:tc>
                <w:tcPr>
                  <w:tcW w:w="1237" w:type="dxa"/>
                  <w:tcBorders>
                    <w:top w:val="nil"/>
                    <w:left w:val="nil"/>
                    <w:bottom w:val="single" w:sz="4" w:space="0" w:color="auto"/>
                    <w:right w:val="single" w:sz="4" w:space="0" w:color="auto"/>
                  </w:tcBorders>
                  <w:shd w:val="clear" w:color="auto" w:fill="000000"/>
                  <w:noWrap/>
                  <w:vAlign w:val="bottom"/>
                  <w:hideMark/>
                </w:tcPr>
                <w:p w14:paraId="6B595F4D"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w:t>
                  </w:r>
                </w:p>
              </w:tc>
            </w:tr>
            <w:tr w:rsidR="007C1A22" w:rsidRPr="00D61E32" w14:paraId="5C629BA0" w14:textId="77777777" w:rsidTr="006B5453">
              <w:trPr>
                <w:trHeight w:val="262"/>
              </w:trPr>
              <w:tc>
                <w:tcPr>
                  <w:tcW w:w="2086" w:type="dxa"/>
                  <w:tcBorders>
                    <w:top w:val="nil"/>
                    <w:left w:val="single" w:sz="4" w:space="0" w:color="auto"/>
                    <w:bottom w:val="single" w:sz="4" w:space="0" w:color="auto"/>
                    <w:right w:val="single" w:sz="4" w:space="0" w:color="auto"/>
                  </w:tcBorders>
                  <w:noWrap/>
                  <w:hideMark/>
                </w:tcPr>
                <w:p w14:paraId="3B135CC1"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Total approved</w:t>
                  </w:r>
                </w:p>
              </w:tc>
              <w:tc>
                <w:tcPr>
                  <w:tcW w:w="1119" w:type="dxa"/>
                  <w:tcBorders>
                    <w:top w:val="nil"/>
                    <w:left w:val="nil"/>
                    <w:bottom w:val="single" w:sz="4" w:space="0" w:color="auto"/>
                    <w:right w:val="single" w:sz="4" w:space="0" w:color="auto"/>
                  </w:tcBorders>
                  <w:noWrap/>
                  <w:vAlign w:val="bottom"/>
                  <w:hideMark/>
                </w:tcPr>
                <w:p w14:paraId="70DA1EB1"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55447 </w:t>
                  </w:r>
                </w:p>
              </w:tc>
              <w:tc>
                <w:tcPr>
                  <w:tcW w:w="1237" w:type="dxa"/>
                  <w:tcBorders>
                    <w:top w:val="nil"/>
                    <w:left w:val="nil"/>
                    <w:bottom w:val="single" w:sz="4" w:space="0" w:color="auto"/>
                    <w:right w:val="single" w:sz="4" w:space="0" w:color="auto"/>
                  </w:tcBorders>
                  <w:noWrap/>
                  <w:vAlign w:val="bottom"/>
                  <w:hideMark/>
                </w:tcPr>
                <w:p w14:paraId="7AD8708C"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99.67%</w:t>
                  </w:r>
                </w:p>
              </w:tc>
            </w:tr>
            <w:tr w:rsidR="007C1A22" w:rsidRPr="00D61E32" w14:paraId="57946906" w14:textId="77777777" w:rsidTr="006B5453">
              <w:trPr>
                <w:trHeight w:val="275"/>
              </w:trPr>
              <w:tc>
                <w:tcPr>
                  <w:tcW w:w="2086" w:type="dxa"/>
                  <w:tcBorders>
                    <w:top w:val="nil"/>
                    <w:left w:val="single" w:sz="4" w:space="0" w:color="auto"/>
                    <w:bottom w:val="single" w:sz="4" w:space="0" w:color="auto"/>
                    <w:right w:val="single" w:sz="4" w:space="0" w:color="auto"/>
                  </w:tcBorders>
                  <w:noWrap/>
                  <w:hideMark/>
                </w:tcPr>
                <w:p w14:paraId="4DF93133"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Total denied</w:t>
                  </w:r>
                </w:p>
              </w:tc>
              <w:tc>
                <w:tcPr>
                  <w:tcW w:w="1119" w:type="dxa"/>
                  <w:tcBorders>
                    <w:top w:val="nil"/>
                    <w:left w:val="nil"/>
                    <w:bottom w:val="single" w:sz="4" w:space="0" w:color="auto"/>
                    <w:right w:val="single" w:sz="4" w:space="0" w:color="auto"/>
                  </w:tcBorders>
                  <w:noWrap/>
                  <w:vAlign w:val="bottom"/>
                  <w:hideMark/>
                </w:tcPr>
                <w:p w14:paraId="6BE156D4"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184 </w:t>
                  </w:r>
                </w:p>
              </w:tc>
              <w:tc>
                <w:tcPr>
                  <w:tcW w:w="1237" w:type="dxa"/>
                  <w:tcBorders>
                    <w:top w:val="nil"/>
                    <w:left w:val="nil"/>
                    <w:bottom w:val="single" w:sz="4" w:space="0" w:color="auto"/>
                    <w:right w:val="single" w:sz="4" w:space="0" w:color="auto"/>
                  </w:tcBorders>
                  <w:noWrap/>
                  <w:vAlign w:val="bottom"/>
                  <w:hideMark/>
                </w:tcPr>
                <w:p w14:paraId="3ECCF309"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0.33%</w:t>
                  </w:r>
                </w:p>
              </w:tc>
            </w:tr>
            <w:tr w:rsidR="007C1A22" w:rsidRPr="00D61E32" w14:paraId="67F0534B" w14:textId="77777777" w:rsidTr="006B5453">
              <w:trPr>
                <w:trHeight w:val="275"/>
              </w:trPr>
              <w:tc>
                <w:tcPr>
                  <w:tcW w:w="2086" w:type="dxa"/>
                  <w:tcBorders>
                    <w:top w:val="nil"/>
                    <w:left w:val="single" w:sz="4" w:space="0" w:color="auto"/>
                    <w:bottom w:val="single" w:sz="4" w:space="0" w:color="auto"/>
                    <w:right w:val="single" w:sz="4" w:space="0" w:color="auto"/>
                  </w:tcBorders>
                  <w:noWrap/>
                  <w:hideMark/>
                </w:tcPr>
                <w:p w14:paraId="738DF354"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Total number of denials appealed</w:t>
                  </w:r>
                </w:p>
              </w:tc>
              <w:tc>
                <w:tcPr>
                  <w:tcW w:w="1119" w:type="dxa"/>
                  <w:tcBorders>
                    <w:top w:val="nil"/>
                    <w:left w:val="nil"/>
                    <w:bottom w:val="single" w:sz="4" w:space="0" w:color="auto"/>
                    <w:right w:val="single" w:sz="4" w:space="0" w:color="auto"/>
                  </w:tcBorders>
                  <w:noWrap/>
                  <w:vAlign w:val="bottom"/>
                  <w:hideMark/>
                </w:tcPr>
                <w:p w14:paraId="27BCC9CA"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24 </w:t>
                  </w:r>
                </w:p>
              </w:tc>
              <w:tc>
                <w:tcPr>
                  <w:tcW w:w="1237" w:type="dxa"/>
                  <w:tcBorders>
                    <w:top w:val="nil"/>
                    <w:left w:val="nil"/>
                    <w:bottom w:val="single" w:sz="4" w:space="0" w:color="auto"/>
                    <w:right w:val="single" w:sz="4" w:space="0" w:color="auto"/>
                  </w:tcBorders>
                  <w:noWrap/>
                  <w:vAlign w:val="bottom"/>
                  <w:hideMark/>
                </w:tcPr>
                <w:p w14:paraId="10960FFF"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13%</w:t>
                  </w:r>
                </w:p>
              </w:tc>
            </w:tr>
            <w:tr w:rsidR="007C1A22" w:rsidRPr="00D61E32" w14:paraId="36D8C90A" w14:textId="77777777" w:rsidTr="006B5453">
              <w:trPr>
                <w:trHeight w:val="275"/>
              </w:trPr>
              <w:tc>
                <w:tcPr>
                  <w:tcW w:w="2086" w:type="dxa"/>
                  <w:tcBorders>
                    <w:top w:val="nil"/>
                    <w:left w:val="single" w:sz="4" w:space="0" w:color="auto"/>
                    <w:bottom w:val="single" w:sz="4" w:space="0" w:color="auto"/>
                    <w:right w:val="single" w:sz="4" w:space="0" w:color="auto"/>
                  </w:tcBorders>
                  <w:noWrap/>
                  <w:vAlign w:val="bottom"/>
                  <w:hideMark/>
                </w:tcPr>
                <w:p w14:paraId="09B86427"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Number of appeals overturned</w:t>
                  </w:r>
                </w:p>
              </w:tc>
              <w:tc>
                <w:tcPr>
                  <w:tcW w:w="1119" w:type="dxa"/>
                  <w:tcBorders>
                    <w:top w:val="nil"/>
                    <w:left w:val="nil"/>
                    <w:bottom w:val="single" w:sz="4" w:space="0" w:color="auto"/>
                    <w:right w:val="single" w:sz="4" w:space="0" w:color="auto"/>
                  </w:tcBorders>
                  <w:noWrap/>
                  <w:vAlign w:val="bottom"/>
                  <w:hideMark/>
                </w:tcPr>
                <w:p w14:paraId="01E6E1F8"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 9 </w:t>
                  </w:r>
                </w:p>
              </w:tc>
              <w:tc>
                <w:tcPr>
                  <w:tcW w:w="1237" w:type="dxa"/>
                  <w:tcBorders>
                    <w:top w:val="nil"/>
                    <w:left w:val="nil"/>
                    <w:bottom w:val="single" w:sz="4" w:space="0" w:color="auto"/>
                    <w:right w:val="single" w:sz="4" w:space="0" w:color="auto"/>
                  </w:tcBorders>
                  <w:noWrap/>
                  <w:vAlign w:val="bottom"/>
                  <w:hideMark/>
                </w:tcPr>
                <w:p w14:paraId="1177AA9B"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38%</w:t>
                  </w:r>
                </w:p>
              </w:tc>
            </w:tr>
            <w:tr w:rsidR="007C1A22" w:rsidRPr="00D61E32" w14:paraId="79D56265" w14:textId="77777777" w:rsidTr="006B5453">
              <w:trPr>
                <w:trHeight w:val="275"/>
              </w:trPr>
              <w:tc>
                <w:tcPr>
                  <w:tcW w:w="2086" w:type="dxa"/>
                  <w:tcBorders>
                    <w:top w:val="nil"/>
                    <w:left w:val="single" w:sz="4" w:space="0" w:color="auto"/>
                    <w:bottom w:val="single" w:sz="4" w:space="0" w:color="auto"/>
                    <w:right w:val="single" w:sz="4" w:space="0" w:color="auto"/>
                  </w:tcBorders>
                  <w:noWrap/>
                  <w:vAlign w:val="bottom"/>
                  <w:hideMark/>
                </w:tcPr>
                <w:p w14:paraId="35A54F1D"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Number of appeals upheld</w:t>
                  </w:r>
                </w:p>
              </w:tc>
              <w:tc>
                <w:tcPr>
                  <w:tcW w:w="1119" w:type="dxa"/>
                  <w:tcBorders>
                    <w:top w:val="nil"/>
                    <w:left w:val="nil"/>
                    <w:bottom w:val="single" w:sz="4" w:space="0" w:color="auto"/>
                    <w:right w:val="single" w:sz="4" w:space="0" w:color="auto"/>
                  </w:tcBorders>
                  <w:noWrap/>
                  <w:vAlign w:val="bottom"/>
                  <w:hideMark/>
                </w:tcPr>
                <w:p w14:paraId="21D8D425"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15 </w:t>
                  </w:r>
                </w:p>
              </w:tc>
              <w:tc>
                <w:tcPr>
                  <w:tcW w:w="1237" w:type="dxa"/>
                  <w:tcBorders>
                    <w:top w:val="nil"/>
                    <w:left w:val="nil"/>
                    <w:bottom w:val="single" w:sz="4" w:space="0" w:color="auto"/>
                    <w:right w:val="single" w:sz="4" w:space="0" w:color="auto"/>
                  </w:tcBorders>
                  <w:noWrap/>
                  <w:vAlign w:val="bottom"/>
                  <w:hideMark/>
                </w:tcPr>
                <w:p w14:paraId="164F434B"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62.5%</w:t>
                  </w:r>
                </w:p>
              </w:tc>
            </w:tr>
            <w:tr w:rsidR="007C1A22" w:rsidRPr="00D61E32" w14:paraId="27279F07" w14:textId="77777777" w:rsidTr="006B5453">
              <w:trPr>
                <w:trHeight w:val="1379"/>
              </w:trPr>
              <w:tc>
                <w:tcPr>
                  <w:tcW w:w="2086" w:type="dxa"/>
                  <w:tcBorders>
                    <w:top w:val="nil"/>
                    <w:left w:val="single" w:sz="4" w:space="0" w:color="auto"/>
                    <w:bottom w:val="single" w:sz="4" w:space="0" w:color="auto"/>
                    <w:right w:val="single" w:sz="4" w:space="0" w:color="auto"/>
                  </w:tcBorders>
                  <w:noWrap/>
                  <w:hideMark/>
                </w:tcPr>
                <w:p w14:paraId="0A2CA7D8"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List Top 5  Credentialing  Denial Reasons</w:t>
                  </w:r>
                </w:p>
              </w:tc>
              <w:tc>
                <w:tcPr>
                  <w:tcW w:w="1119" w:type="dxa"/>
                  <w:tcBorders>
                    <w:top w:val="nil"/>
                    <w:left w:val="nil"/>
                    <w:bottom w:val="single" w:sz="4" w:space="0" w:color="auto"/>
                    <w:right w:val="single" w:sz="4" w:space="0" w:color="auto"/>
                  </w:tcBorders>
                  <w:hideMark/>
                </w:tcPr>
                <w:p w14:paraId="6E2FB35A"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1. Malpractice Issue</w:t>
                  </w:r>
                  <w:r w:rsidRPr="00D61E32">
                    <w:rPr>
                      <w:rFonts w:ascii="Century Gothic" w:eastAsia="Times New Roman" w:hAnsi="Century Gothic" w:cs="Arial"/>
                      <w:color w:val="000000"/>
                    </w:rPr>
                    <w:br/>
                    <w:t>2. License Issue</w:t>
                  </w:r>
                  <w:r w:rsidRPr="00D61E32">
                    <w:rPr>
                      <w:rFonts w:ascii="Century Gothic" w:eastAsia="Times New Roman" w:hAnsi="Century Gothic" w:cs="Arial"/>
                      <w:color w:val="000000"/>
                    </w:rPr>
                    <w:br/>
                    <w:t>3. Board Certification Issue</w:t>
                  </w:r>
                  <w:r w:rsidRPr="00D61E32">
                    <w:rPr>
                      <w:rFonts w:ascii="Century Gothic" w:eastAsia="Times New Roman" w:hAnsi="Century Gothic" w:cs="Arial"/>
                      <w:color w:val="000000"/>
                    </w:rPr>
                    <w:br/>
                    <w:t>4. Hospital Privileges</w:t>
                  </w:r>
                  <w:r w:rsidRPr="00D61E32">
                    <w:rPr>
                      <w:rFonts w:ascii="Century Gothic" w:eastAsia="Times New Roman" w:hAnsi="Century Gothic" w:cs="Arial"/>
                      <w:color w:val="000000"/>
                    </w:rPr>
                    <w:br/>
                    <w:t>5. Govt/Federal Business Excl</w:t>
                  </w:r>
                </w:p>
              </w:tc>
              <w:tc>
                <w:tcPr>
                  <w:tcW w:w="1237" w:type="dxa"/>
                  <w:tcBorders>
                    <w:top w:val="nil"/>
                    <w:left w:val="nil"/>
                    <w:bottom w:val="single" w:sz="4" w:space="0" w:color="auto"/>
                    <w:right w:val="single" w:sz="4" w:space="0" w:color="auto"/>
                  </w:tcBorders>
                  <w:hideMark/>
                </w:tcPr>
                <w:p w14:paraId="37007224"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 </w:t>
                  </w:r>
                </w:p>
              </w:tc>
            </w:tr>
            <w:tr w:rsidR="007C1A22" w:rsidRPr="00D61E32" w14:paraId="3C9CB6D9" w14:textId="77777777" w:rsidTr="006B5453">
              <w:trPr>
                <w:trHeight w:val="275"/>
              </w:trPr>
              <w:tc>
                <w:tcPr>
                  <w:tcW w:w="2086" w:type="dxa"/>
                  <w:tcBorders>
                    <w:top w:val="nil"/>
                    <w:left w:val="single" w:sz="4" w:space="0" w:color="auto"/>
                    <w:bottom w:val="single" w:sz="4" w:space="0" w:color="auto"/>
                    <w:right w:val="single" w:sz="4" w:space="0" w:color="auto"/>
                  </w:tcBorders>
                  <w:noWrap/>
                  <w:hideMark/>
                </w:tcPr>
                <w:p w14:paraId="360CA21D"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Average credentialing approval TAT</w:t>
                  </w:r>
                </w:p>
              </w:tc>
              <w:tc>
                <w:tcPr>
                  <w:tcW w:w="1119" w:type="dxa"/>
                  <w:tcBorders>
                    <w:top w:val="nil"/>
                    <w:left w:val="nil"/>
                    <w:bottom w:val="single" w:sz="4" w:space="0" w:color="auto"/>
                    <w:right w:val="single" w:sz="4" w:space="0" w:color="auto"/>
                  </w:tcBorders>
                  <w:noWrap/>
                  <w:vAlign w:val="bottom"/>
                  <w:hideMark/>
                </w:tcPr>
                <w:p w14:paraId="1DB412D2"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25.24  days</w:t>
                  </w:r>
                </w:p>
              </w:tc>
              <w:tc>
                <w:tcPr>
                  <w:tcW w:w="1237" w:type="dxa"/>
                  <w:tcBorders>
                    <w:top w:val="nil"/>
                    <w:left w:val="nil"/>
                    <w:bottom w:val="single" w:sz="4" w:space="0" w:color="auto"/>
                    <w:right w:val="single" w:sz="4" w:space="0" w:color="auto"/>
                  </w:tcBorders>
                  <w:noWrap/>
                  <w:vAlign w:val="bottom"/>
                  <w:hideMark/>
                </w:tcPr>
                <w:p w14:paraId="2042C56D"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w:t>
                  </w:r>
                </w:p>
              </w:tc>
            </w:tr>
            <w:tr w:rsidR="007C1A22" w:rsidRPr="00D61E32" w14:paraId="234ECAE8" w14:textId="77777777" w:rsidTr="006B5453">
              <w:trPr>
                <w:trHeight w:val="275"/>
              </w:trPr>
              <w:tc>
                <w:tcPr>
                  <w:tcW w:w="2086" w:type="dxa"/>
                  <w:tcBorders>
                    <w:top w:val="nil"/>
                    <w:left w:val="single" w:sz="4" w:space="0" w:color="auto"/>
                    <w:bottom w:val="single" w:sz="4" w:space="0" w:color="auto"/>
                    <w:right w:val="single" w:sz="4" w:space="0" w:color="auto"/>
                  </w:tcBorders>
                  <w:noWrap/>
                  <w:hideMark/>
                </w:tcPr>
                <w:p w14:paraId="631F6AE9"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Average credentialing denial TAT</w:t>
                  </w:r>
                </w:p>
              </w:tc>
              <w:tc>
                <w:tcPr>
                  <w:tcW w:w="1119" w:type="dxa"/>
                  <w:tcBorders>
                    <w:top w:val="nil"/>
                    <w:left w:val="nil"/>
                    <w:bottom w:val="single" w:sz="4" w:space="0" w:color="auto"/>
                    <w:right w:val="single" w:sz="4" w:space="0" w:color="auto"/>
                  </w:tcBorders>
                  <w:noWrap/>
                  <w:vAlign w:val="bottom"/>
                  <w:hideMark/>
                </w:tcPr>
                <w:p w14:paraId="475562CE"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87.66 days</w:t>
                  </w:r>
                </w:p>
              </w:tc>
              <w:tc>
                <w:tcPr>
                  <w:tcW w:w="1237" w:type="dxa"/>
                  <w:tcBorders>
                    <w:top w:val="nil"/>
                    <w:left w:val="nil"/>
                    <w:bottom w:val="single" w:sz="4" w:space="0" w:color="auto"/>
                    <w:right w:val="single" w:sz="4" w:space="0" w:color="auto"/>
                  </w:tcBorders>
                  <w:noWrap/>
                  <w:vAlign w:val="bottom"/>
                  <w:hideMark/>
                </w:tcPr>
                <w:p w14:paraId="31BC63D6"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w:t>
                  </w:r>
                </w:p>
              </w:tc>
              <w:bookmarkEnd w:id="23"/>
            </w:tr>
            <w:tr w:rsidR="007C1A22" w:rsidRPr="00D61E32" w14:paraId="73D48E82" w14:textId="77777777" w:rsidTr="006B5453">
              <w:trPr>
                <w:trHeight w:val="275"/>
              </w:trPr>
              <w:tc>
                <w:tcPr>
                  <w:tcW w:w="2086" w:type="dxa"/>
                  <w:noWrap/>
                  <w:vAlign w:val="bottom"/>
                </w:tcPr>
                <w:p w14:paraId="20CAE8AC" w14:textId="77777777" w:rsidR="007C1A22" w:rsidRPr="00D61E32" w:rsidRDefault="007C1A22" w:rsidP="007C1A22">
                  <w:pPr>
                    <w:spacing w:after="0" w:line="240" w:lineRule="auto"/>
                    <w:rPr>
                      <w:rFonts w:ascii="Century Gothic" w:eastAsia="Times New Roman" w:hAnsi="Century Gothic" w:cs="Arial"/>
                      <w:color w:val="000000"/>
                    </w:rPr>
                  </w:pPr>
                </w:p>
                <w:p w14:paraId="234CBF6A" w14:textId="77777777" w:rsidR="007C1A22" w:rsidRPr="00D61E32" w:rsidRDefault="007C1A22" w:rsidP="007C1A22">
                  <w:pPr>
                    <w:spacing w:after="0" w:line="240" w:lineRule="auto"/>
                    <w:jc w:val="center"/>
                    <w:rPr>
                      <w:rFonts w:ascii="Century Gothic" w:eastAsia="Times New Roman" w:hAnsi="Century Gothic" w:cs="Arial"/>
                      <w:color w:val="000000"/>
                    </w:rPr>
                  </w:pPr>
                </w:p>
              </w:tc>
              <w:tc>
                <w:tcPr>
                  <w:tcW w:w="1119" w:type="dxa"/>
                  <w:noWrap/>
                  <w:vAlign w:val="bottom"/>
                  <w:hideMark/>
                </w:tcPr>
                <w:p w14:paraId="5258106F" w14:textId="77777777" w:rsidR="007C1A22" w:rsidRPr="00D61E32" w:rsidRDefault="007C1A22" w:rsidP="007C1A22">
                  <w:pPr>
                    <w:spacing w:after="0" w:line="240" w:lineRule="auto"/>
                    <w:rPr>
                      <w:rFonts w:ascii="Century Gothic" w:eastAsia="Times New Roman" w:hAnsi="Century Gothic" w:cs="Arial"/>
                      <w:color w:val="000000"/>
                    </w:rPr>
                  </w:pPr>
                </w:p>
              </w:tc>
              <w:tc>
                <w:tcPr>
                  <w:tcW w:w="1237" w:type="dxa"/>
                  <w:noWrap/>
                  <w:vAlign w:val="bottom"/>
                  <w:hideMark/>
                </w:tcPr>
                <w:p w14:paraId="177B64BE" w14:textId="77777777" w:rsidR="007C1A22" w:rsidRPr="00D61E32" w:rsidRDefault="007C1A22" w:rsidP="007C1A22">
                  <w:pPr>
                    <w:spacing w:after="0" w:line="240" w:lineRule="auto"/>
                    <w:rPr>
                      <w:rFonts w:ascii="Century Gothic" w:eastAsia="Calibri" w:hAnsi="Century Gothic" w:cs="Times New Roman"/>
                    </w:rPr>
                  </w:pPr>
                </w:p>
              </w:tc>
            </w:tr>
          </w:tbl>
          <w:p w14:paraId="3C6C07FD" w14:textId="77777777" w:rsidR="007C1A22" w:rsidRPr="00D61E32" w:rsidRDefault="007C1A22" w:rsidP="007C1A22">
            <w:pPr>
              <w:spacing w:after="0" w:line="240" w:lineRule="auto"/>
              <w:rPr>
                <w:rFonts w:ascii="Century Gothic" w:eastAsia="Times New Roman" w:hAnsi="Century Gothic" w:cs="Arial"/>
                <w:b/>
              </w:rPr>
            </w:pPr>
          </w:p>
        </w:tc>
        <w:tc>
          <w:tcPr>
            <w:tcW w:w="2524" w:type="pct"/>
            <w:tcBorders>
              <w:top w:val="single" w:sz="4" w:space="0" w:color="auto"/>
              <w:left w:val="single" w:sz="4" w:space="0" w:color="auto"/>
              <w:bottom w:val="single" w:sz="4" w:space="0" w:color="auto"/>
              <w:right w:val="single" w:sz="4" w:space="0" w:color="auto"/>
            </w:tcBorders>
          </w:tcPr>
          <w:p w14:paraId="177B4B01"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 xml:space="preserve">In operation – data </w:t>
            </w:r>
          </w:p>
          <w:p w14:paraId="46487317"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 xml:space="preserve">MH/SUD: </w:t>
            </w:r>
          </w:p>
          <w:p w14:paraId="64741B49" w14:textId="77777777" w:rsidR="007C1A22" w:rsidRPr="00D61E32" w:rsidRDefault="007C1A22" w:rsidP="007C1A22">
            <w:pPr>
              <w:spacing w:after="0" w:line="240" w:lineRule="auto"/>
              <w:rPr>
                <w:rFonts w:ascii="Century Gothic" w:eastAsia="Times New Roman" w:hAnsi="Century Gothic" w:cs="Arial"/>
                <w:b/>
              </w:rPr>
            </w:pPr>
          </w:p>
          <w:p w14:paraId="5547A8DE" w14:textId="77777777" w:rsidR="007C1A22" w:rsidRDefault="007C1A22" w:rsidP="007C1A22">
            <w:pPr>
              <w:spacing w:after="0" w:line="240" w:lineRule="auto"/>
              <w:rPr>
                <w:rFonts w:ascii="Century Gothic" w:eastAsia="Times New Roman" w:hAnsi="Century Gothic" w:cs="Arial"/>
                <w:bCs/>
              </w:rPr>
            </w:pPr>
            <w:r w:rsidRPr="00D61E32">
              <w:rPr>
                <w:rFonts w:ascii="Century Gothic" w:eastAsia="Times New Roman" w:hAnsi="Century Gothic" w:cs="Arial"/>
                <w:bCs/>
              </w:rPr>
              <w:t xml:space="preserve">This comparative analysis was drafted based on Cigna Credentialing and Network Access Reporting provided below. </w:t>
            </w:r>
          </w:p>
          <w:p w14:paraId="3D9FD387" w14:textId="77777777" w:rsidR="00AA24AC" w:rsidRPr="00D61E32" w:rsidRDefault="00AA24AC" w:rsidP="007C1A22">
            <w:pPr>
              <w:spacing w:after="0" w:line="240" w:lineRule="auto"/>
              <w:rPr>
                <w:rFonts w:ascii="Century Gothic" w:eastAsia="Times New Roman" w:hAnsi="Century Gothic" w:cs="Arial"/>
                <w:bCs/>
              </w:rPr>
            </w:pPr>
          </w:p>
          <w:tbl>
            <w:tblPr>
              <w:tblW w:w="4212" w:type="dxa"/>
              <w:tblLook w:val="04A0" w:firstRow="1" w:lastRow="0" w:firstColumn="1" w:lastColumn="0" w:noHBand="0" w:noVBand="1"/>
            </w:tblPr>
            <w:tblGrid>
              <w:gridCol w:w="1840"/>
              <w:gridCol w:w="2215"/>
            </w:tblGrid>
            <w:tr w:rsidR="007C1A22" w:rsidRPr="00D61E32" w14:paraId="2EFF2234" w14:textId="77777777" w:rsidTr="00AA24AC">
              <w:trPr>
                <w:trHeight w:val="378"/>
              </w:trPr>
              <w:tc>
                <w:tcPr>
                  <w:tcW w:w="178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0AAC30" w14:textId="77777777" w:rsidR="007C1A22" w:rsidRPr="00D61E32" w:rsidRDefault="007C1A22" w:rsidP="007C1A22">
                  <w:pPr>
                    <w:spacing w:after="0" w:line="240" w:lineRule="auto"/>
                    <w:jc w:val="center"/>
                    <w:rPr>
                      <w:rFonts w:ascii="Century Gothic" w:eastAsia="Times New Roman" w:hAnsi="Century Gothic" w:cs="Arial"/>
                      <w:b/>
                      <w:bCs/>
                      <w:color w:val="000000"/>
                    </w:rPr>
                  </w:pPr>
                  <w:r w:rsidRPr="00D61E32">
                    <w:rPr>
                      <w:rFonts w:ascii="Century Gothic" w:eastAsia="Times New Roman" w:hAnsi="Century Gothic" w:cs="Arial"/>
                      <w:b/>
                      <w:bCs/>
                      <w:color w:val="000000"/>
                    </w:rPr>
                    <w:t>Metric</w:t>
                  </w:r>
                </w:p>
              </w:tc>
              <w:tc>
                <w:tcPr>
                  <w:tcW w:w="2430" w:type="dxa"/>
                  <w:tcBorders>
                    <w:top w:val="single" w:sz="4" w:space="0" w:color="auto"/>
                    <w:left w:val="nil"/>
                    <w:bottom w:val="single" w:sz="4" w:space="0" w:color="auto"/>
                    <w:right w:val="single" w:sz="4" w:space="0" w:color="auto"/>
                  </w:tcBorders>
                  <w:shd w:val="clear" w:color="auto" w:fill="BFBFBF"/>
                  <w:noWrap/>
                  <w:vAlign w:val="center"/>
                  <w:hideMark/>
                </w:tcPr>
                <w:p w14:paraId="087C98D0" w14:textId="77777777" w:rsidR="007C1A22" w:rsidRPr="00D61E32" w:rsidRDefault="007C1A22" w:rsidP="007C1A22">
                  <w:pPr>
                    <w:spacing w:after="0" w:line="240" w:lineRule="auto"/>
                    <w:jc w:val="center"/>
                    <w:rPr>
                      <w:rFonts w:ascii="Century Gothic" w:eastAsia="Times New Roman" w:hAnsi="Century Gothic" w:cs="Arial"/>
                      <w:b/>
                      <w:bCs/>
                      <w:color w:val="000000"/>
                    </w:rPr>
                  </w:pPr>
                  <w:r w:rsidRPr="00D61E32">
                    <w:rPr>
                      <w:rFonts w:ascii="Century Gothic" w:eastAsia="Times New Roman" w:hAnsi="Century Gothic" w:cs="Arial"/>
                      <w:b/>
                      <w:bCs/>
                      <w:color w:val="000000"/>
                    </w:rPr>
                    <w:t>Behavioral</w:t>
                  </w:r>
                </w:p>
              </w:tc>
            </w:tr>
            <w:tr w:rsidR="007C1A22" w:rsidRPr="00D61E32" w14:paraId="6BD12D01" w14:textId="77777777" w:rsidTr="00AA24AC">
              <w:trPr>
                <w:trHeight w:val="1044"/>
              </w:trPr>
              <w:tc>
                <w:tcPr>
                  <w:tcW w:w="1782" w:type="dxa"/>
                  <w:tcBorders>
                    <w:top w:val="nil"/>
                    <w:left w:val="single" w:sz="4" w:space="0" w:color="auto"/>
                    <w:bottom w:val="single" w:sz="4" w:space="0" w:color="auto"/>
                    <w:right w:val="single" w:sz="4" w:space="0" w:color="auto"/>
                  </w:tcBorders>
                  <w:noWrap/>
                  <w:hideMark/>
                </w:tcPr>
                <w:p w14:paraId="0CCFF90A"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 Time/Distance Report</w:t>
                  </w:r>
                </w:p>
              </w:tc>
              <w:tc>
                <w:tcPr>
                  <w:tcW w:w="2430" w:type="dxa"/>
                  <w:tcBorders>
                    <w:top w:val="nil"/>
                    <w:left w:val="nil"/>
                    <w:bottom w:val="single" w:sz="4" w:space="0" w:color="auto"/>
                    <w:right w:val="single" w:sz="4" w:space="0" w:color="auto"/>
                  </w:tcBorders>
                  <w:hideMark/>
                </w:tcPr>
                <w:p w14:paraId="2191A770"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Master's Level Clinician: 97%</w:t>
                  </w:r>
                  <w:r w:rsidRPr="00D61E32">
                    <w:rPr>
                      <w:rFonts w:ascii="Century Gothic" w:eastAsia="Times New Roman" w:hAnsi="Century Gothic" w:cs="Arial"/>
                      <w:b/>
                      <w:bCs/>
                      <w:color w:val="000000"/>
                    </w:rPr>
                    <w:t xml:space="preserve"> (met) </w:t>
                  </w:r>
                  <w:r w:rsidRPr="00D61E32">
                    <w:rPr>
                      <w:rFonts w:ascii="Century Gothic" w:eastAsia="Times New Roman" w:hAnsi="Century Gothic" w:cs="Arial"/>
                      <w:color w:val="000000"/>
                    </w:rPr>
                    <w:br/>
                    <w:t xml:space="preserve">Psychologist:  83% </w:t>
                  </w:r>
                  <w:r w:rsidRPr="00D61E32">
                    <w:rPr>
                      <w:rFonts w:ascii="Century Gothic" w:eastAsia="Times New Roman" w:hAnsi="Century Gothic" w:cs="Arial"/>
                      <w:b/>
                      <w:bCs/>
                      <w:color w:val="000000"/>
                    </w:rPr>
                    <w:t>(not met)</w:t>
                  </w:r>
                  <w:r w:rsidRPr="00D61E32">
                    <w:rPr>
                      <w:rFonts w:ascii="Century Gothic" w:eastAsia="Times New Roman" w:hAnsi="Century Gothic" w:cs="Arial"/>
                      <w:color w:val="000000"/>
                    </w:rPr>
                    <w:br/>
                    <w:t xml:space="preserve">Physician 90% </w:t>
                  </w:r>
                  <w:r w:rsidRPr="00D61E32">
                    <w:rPr>
                      <w:rFonts w:ascii="Century Gothic" w:eastAsia="Times New Roman" w:hAnsi="Century Gothic" w:cs="Arial"/>
                      <w:b/>
                      <w:bCs/>
                      <w:color w:val="000000"/>
                    </w:rPr>
                    <w:t>(met)</w:t>
                  </w:r>
                </w:p>
              </w:tc>
            </w:tr>
            <w:tr w:rsidR="007C1A22" w:rsidRPr="00D61E32" w14:paraId="18BA3F3D" w14:textId="77777777" w:rsidTr="00AA24AC">
              <w:trPr>
                <w:trHeight w:val="3394"/>
              </w:trPr>
              <w:tc>
                <w:tcPr>
                  <w:tcW w:w="1782" w:type="dxa"/>
                  <w:tcBorders>
                    <w:top w:val="nil"/>
                    <w:left w:val="single" w:sz="4" w:space="0" w:color="auto"/>
                    <w:bottom w:val="single" w:sz="4" w:space="0" w:color="auto"/>
                    <w:right w:val="single" w:sz="4" w:space="0" w:color="auto"/>
                  </w:tcBorders>
                  <w:noWrap/>
                  <w:hideMark/>
                </w:tcPr>
                <w:p w14:paraId="52B87DD7"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Provider/Enrollee Ratio</w:t>
                  </w:r>
                </w:p>
              </w:tc>
              <w:tc>
                <w:tcPr>
                  <w:tcW w:w="2430" w:type="dxa"/>
                  <w:tcBorders>
                    <w:top w:val="nil"/>
                    <w:left w:val="nil"/>
                    <w:bottom w:val="single" w:sz="4" w:space="0" w:color="auto"/>
                    <w:right w:val="single" w:sz="4" w:space="0" w:color="auto"/>
                  </w:tcBorders>
                  <w:vAlign w:val="bottom"/>
                  <w:hideMark/>
                </w:tcPr>
                <w:p w14:paraId="0AC09253"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 xml:space="preserve">Masters Ratio (1 </w:t>
                  </w:r>
                  <w:proofErr w:type="gramStart"/>
                  <w:r w:rsidRPr="00D61E32">
                    <w:rPr>
                      <w:rFonts w:ascii="Century Gothic" w:eastAsia="Times New Roman" w:hAnsi="Century Gothic" w:cs="Arial"/>
                      <w:color w:val="000000"/>
                    </w:rPr>
                    <w:t>Masters</w:t>
                  </w:r>
                  <w:proofErr w:type="gramEnd"/>
                  <w:r w:rsidRPr="00D61E32">
                    <w:rPr>
                      <w:rFonts w:ascii="Century Gothic" w:eastAsia="Times New Roman" w:hAnsi="Century Gothic" w:cs="Arial"/>
                      <w:color w:val="000000"/>
                    </w:rPr>
                    <w:t xml:space="preserve"> Level Clinician: 800 Members):  </w:t>
                  </w:r>
                  <w:r w:rsidRPr="00D61E32">
                    <w:rPr>
                      <w:rFonts w:ascii="Century Gothic" w:eastAsia="Times New Roman" w:hAnsi="Century Gothic" w:cs="Arial"/>
                      <w:b/>
                      <w:bCs/>
                      <w:color w:val="000000"/>
                    </w:rPr>
                    <w:t>Met</w:t>
                  </w:r>
                  <w:r w:rsidRPr="00D61E32">
                    <w:rPr>
                      <w:rFonts w:ascii="Century Gothic" w:eastAsia="Times New Roman" w:hAnsi="Century Gothic" w:cs="Arial"/>
                      <w:color w:val="000000"/>
                    </w:rPr>
                    <w:br/>
                    <w:t xml:space="preserve">Psychologist Ratio (1 Psychologist:  1,500 Members):  </w:t>
                  </w:r>
                  <w:r w:rsidRPr="00D61E32">
                    <w:rPr>
                      <w:rFonts w:ascii="Century Gothic" w:eastAsia="Times New Roman" w:hAnsi="Century Gothic" w:cs="Arial"/>
                      <w:b/>
                      <w:bCs/>
                      <w:color w:val="000000"/>
                    </w:rPr>
                    <w:t>Met</w:t>
                  </w:r>
                  <w:r w:rsidRPr="00D61E32">
                    <w:rPr>
                      <w:rFonts w:ascii="Century Gothic" w:eastAsia="Times New Roman" w:hAnsi="Century Gothic" w:cs="Arial"/>
                      <w:color w:val="000000"/>
                    </w:rPr>
                    <w:t xml:space="preserve"> </w:t>
                  </w:r>
                  <w:r w:rsidRPr="00D61E32">
                    <w:rPr>
                      <w:rFonts w:ascii="Century Gothic" w:eastAsia="Times New Roman" w:hAnsi="Century Gothic" w:cs="Arial"/>
                      <w:color w:val="000000"/>
                    </w:rPr>
                    <w:br/>
                    <w:t xml:space="preserve">Prescriber Ratio (1 Psychiatrist/NP: 1,500 Members): </w:t>
                  </w:r>
                  <w:r w:rsidRPr="00D61E32">
                    <w:rPr>
                      <w:rFonts w:ascii="Century Gothic" w:eastAsia="Times New Roman" w:hAnsi="Century Gothic" w:cs="Arial"/>
                      <w:b/>
                      <w:bCs/>
                      <w:color w:val="000000"/>
                    </w:rPr>
                    <w:t xml:space="preserve"> Met</w:t>
                  </w:r>
                  <w:r w:rsidRPr="00D61E32">
                    <w:rPr>
                      <w:rFonts w:ascii="Century Gothic" w:eastAsia="Times New Roman" w:hAnsi="Century Gothic" w:cs="Arial"/>
                      <w:color w:val="000000"/>
                    </w:rPr>
                    <w:br/>
                    <w:t xml:space="preserve">Inpatient Facility Ratio (1 Facility: 10,000 Members):  </w:t>
                  </w:r>
                  <w:r w:rsidRPr="00D61E32">
                    <w:rPr>
                      <w:rFonts w:ascii="Century Gothic" w:eastAsia="Times New Roman" w:hAnsi="Century Gothic" w:cs="Arial"/>
                      <w:b/>
                      <w:bCs/>
                      <w:color w:val="000000"/>
                    </w:rPr>
                    <w:t>Met</w:t>
                  </w:r>
                  <w:r w:rsidRPr="00D61E32">
                    <w:rPr>
                      <w:rFonts w:ascii="Century Gothic" w:eastAsia="Times New Roman" w:hAnsi="Century Gothic" w:cs="Arial"/>
                      <w:color w:val="000000"/>
                    </w:rPr>
                    <w:br/>
                    <w:t xml:space="preserve">Residential Facility Ratio (1 Facility: 20,000 Members):  </w:t>
                  </w:r>
                  <w:r w:rsidRPr="00D61E32">
                    <w:rPr>
                      <w:rFonts w:ascii="Century Gothic" w:eastAsia="Times New Roman" w:hAnsi="Century Gothic" w:cs="Arial"/>
                      <w:b/>
                      <w:bCs/>
                      <w:color w:val="000000"/>
                    </w:rPr>
                    <w:t>Met</w:t>
                  </w:r>
                  <w:r w:rsidRPr="00D61E32">
                    <w:rPr>
                      <w:rFonts w:ascii="Century Gothic" w:eastAsia="Times New Roman" w:hAnsi="Century Gothic" w:cs="Arial"/>
                      <w:color w:val="000000"/>
                    </w:rPr>
                    <w:br/>
                    <w:t xml:space="preserve">Ambulatory Program Ratio (1 Program: 10,000 Members):  </w:t>
                  </w:r>
                  <w:r w:rsidRPr="00D61E32">
                    <w:rPr>
                      <w:rFonts w:ascii="Century Gothic" w:eastAsia="Times New Roman" w:hAnsi="Century Gothic" w:cs="Arial"/>
                      <w:b/>
                      <w:bCs/>
                      <w:color w:val="000000"/>
                    </w:rPr>
                    <w:t>Met</w:t>
                  </w:r>
                </w:p>
              </w:tc>
            </w:tr>
          </w:tbl>
          <w:p w14:paraId="3C18CCC5" w14:textId="77777777" w:rsidR="007C1A22" w:rsidRPr="00D61E32" w:rsidRDefault="007C1A22" w:rsidP="007C1A22">
            <w:pPr>
              <w:spacing w:after="0" w:line="240" w:lineRule="auto"/>
              <w:rPr>
                <w:rFonts w:ascii="Century Gothic" w:eastAsia="Times New Roman" w:hAnsi="Century Gothic" w:cs="Arial"/>
                <w:b/>
              </w:rPr>
            </w:pPr>
          </w:p>
          <w:tbl>
            <w:tblPr>
              <w:tblW w:w="4055" w:type="dxa"/>
              <w:tblLook w:val="04A0" w:firstRow="1" w:lastRow="0" w:firstColumn="1" w:lastColumn="0" w:noHBand="0" w:noVBand="1"/>
            </w:tblPr>
            <w:tblGrid>
              <w:gridCol w:w="1639"/>
              <w:gridCol w:w="1496"/>
              <w:gridCol w:w="920"/>
            </w:tblGrid>
            <w:tr w:rsidR="007C1A22" w:rsidRPr="00D61E32" w14:paraId="5587DA38" w14:textId="77777777" w:rsidTr="00AA24AC">
              <w:trPr>
                <w:trHeight w:val="275"/>
              </w:trPr>
              <w:tc>
                <w:tcPr>
                  <w:tcW w:w="163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E747198" w14:textId="77777777" w:rsidR="007C1A22" w:rsidRPr="00D61E32" w:rsidRDefault="007C1A22" w:rsidP="007C1A22">
                  <w:pPr>
                    <w:spacing w:after="0" w:line="240" w:lineRule="auto"/>
                    <w:jc w:val="center"/>
                    <w:rPr>
                      <w:rFonts w:ascii="Century Gothic" w:eastAsia="Times New Roman" w:hAnsi="Century Gothic" w:cs="Arial"/>
                      <w:b/>
                      <w:bCs/>
                      <w:color w:val="000000"/>
                    </w:rPr>
                  </w:pPr>
                  <w:bookmarkStart w:id="24" w:name="_Hlk159314829"/>
                  <w:r w:rsidRPr="00D61E32">
                    <w:rPr>
                      <w:rFonts w:ascii="Century Gothic" w:eastAsia="Times New Roman" w:hAnsi="Century Gothic" w:cs="Arial"/>
                      <w:b/>
                      <w:bCs/>
                      <w:color w:val="000000"/>
                    </w:rPr>
                    <w:t>Credentialing</w:t>
                  </w:r>
                </w:p>
              </w:tc>
              <w:tc>
                <w:tcPr>
                  <w:tcW w:w="1496" w:type="dxa"/>
                  <w:tcBorders>
                    <w:top w:val="single" w:sz="4" w:space="0" w:color="auto"/>
                    <w:left w:val="nil"/>
                    <w:bottom w:val="single" w:sz="4" w:space="0" w:color="auto"/>
                    <w:right w:val="single" w:sz="4" w:space="0" w:color="auto"/>
                  </w:tcBorders>
                  <w:shd w:val="clear" w:color="auto" w:fill="D9D9D9"/>
                  <w:noWrap/>
                  <w:hideMark/>
                </w:tcPr>
                <w:p w14:paraId="74368764" w14:textId="77777777" w:rsidR="007C1A22" w:rsidRPr="00D61E32" w:rsidRDefault="007C1A22" w:rsidP="007C1A22">
                  <w:pPr>
                    <w:spacing w:after="0" w:line="240" w:lineRule="auto"/>
                    <w:jc w:val="center"/>
                    <w:rPr>
                      <w:rFonts w:ascii="Century Gothic" w:eastAsia="Times New Roman" w:hAnsi="Century Gothic" w:cs="Arial"/>
                      <w:b/>
                      <w:bCs/>
                      <w:color w:val="000000"/>
                    </w:rPr>
                  </w:pPr>
                  <w:r w:rsidRPr="00D61E32">
                    <w:rPr>
                      <w:rFonts w:ascii="Century Gothic" w:eastAsia="Times New Roman" w:hAnsi="Century Gothic" w:cs="Arial"/>
                      <w:b/>
                      <w:bCs/>
                      <w:color w:val="000000"/>
                    </w:rPr>
                    <w:t>Behavioral</w:t>
                  </w:r>
                </w:p>
              </w:tc>
              <w:tc>
                <w:tcPr>
                  <w:tcW w:w="920" w:type="dxa"/>
                  <w:tcBorders>
                    <w:top w:val="single" w:sz="4" w:space="0" w:color="auto"/>
                    <w:left w:val="nil"/>
                    <w:bottom w:val="single" w:sz="4" w:space="0" w:color="auto"/>
                    <w:right w:val="single" w:sz="4" w:space="0" w:color="auto"/>
                  </w:tcBorders>
                  <w:shd w:val="clear" w:color="auto" w:fill="D0CECE"/>
                  <w:noWrap/>
                  <w:vAlign w:val="bottom"/>
                  <w:hideMark/>
                </w:tcPr>
                <w:p w14:paraId="6AF509DA" w14:textId="77777777" w:rsidR="007C1A22" w:rsidRPr="00D61E32" w:rsidRDefault="007C1A22" w:rsidP="007C1A22">
                  <w:pPr>
                    <w:spacing w:after="0" w:line="240" w:lineRule="auto"/>
                    <w:jc w:val="center"/>
                    <w:rPr>
                      <w:rFonts w:ascii="Century Gothic" w:eastAsia="Times New Roman" w:hAnsi="Century Gothic" w:cs="Arial"/>
                      <w:b/>
                      <w:bCs/>
                      <w:color w:val="000000"/>
                    </w:rPr>
                  </w:pPr>
                  <w:r w:rsidRPr="00D61E32">
                    <w:rPr>
                      <w:rFonts w:ascii="Century Gothic" w:eastAsia="Times New Roman" w:hAnsi="Century Gothic" w:cs="Arial"/>
                      <w:b/>
                      <w:bCs/>
                      <w:color w:val="000000"/>
                    </w:rPr>
                    <w:t>%</w:t>
                  </w:r>
                </w:p>
              </w:tc>
            </w:tr>
            <w:tr w:rsidR="007C1A22" w:rsidRPr="00D61E32" w14:paraId="4F1BE6F3" w14:textId="77777777" w:rsidTr="00AA24AC">
              <w:trPr>
                <w:trHeight w:val="275"/>
              </w:trPr>
              <w:tc>
                <w:tcPr>
                  <w:tcW w:w="1639" w:type="dxa"/>
                  <w:tcBorders>
                    <w:top w:val="nil"/>
                    <w:left w:val="single" w:sz="4" w:space="0" w:color="auto"/>
                    <w:bottom w:val="single" w:sz="4" w:space="0" w:color="auto"/>
                    <w:right w:val="single" w:sz="4" w:space="0" w:color="auto"/>
                  </w:tcBorders>
                  <w:noWrap/>
                  <w:hideMark/>
                </w:tcPr>
                <w:p w14:paraId="57CB7115"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Total number of requests</w:t>
                  </w:r>
                </w:p>
              </w:tc>
              <w:tc>
                <w:tcPr>
                  <w:tcW w:w="1496" w:type="dxa"/>
                  <w:tcBorders>
                    <w:top w:val="nil"/>
                    <w:left w:val="nil"/>
                    <w:bottom w:val="single" w:sz="4" w:space="0" w:color="auto"/>
                    <w:right w:val="single" w:sz="4" w:space="0" w:color="auto"/>
                  </w:tcBorders>
                  <w:noWrap/>
                  <w:vAlign w:val="bottom"/>
                  <w:hideMark/>
                </w:tcPr>
                <w:p w14:paraId="32BE0B32"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45271 </w:t>
                  </w:r>
                </w:p>
              </w:tc>
              <w:tc>
                <w:tcPr>
                  <w:tcW w:w="920" w:type="dxa"/>
                  <w:tcBorders>
                    <w:top w:val="nil"/>
                    <w:left w:val="nil"/>
                    <w:bottom w:val="single" w:sz="4" w:space="0" w:color="auto"/>
                    <w:right w:val="single" w:sz="4" w:space="0" w:color="auto"/>
                  </w:tcBorders>
                  <w:shd w:val="clear" w:color="auto" w:fill="000000"/>
                  <w:noWrap/>
                  <w:vAlign w:val="bottom"/>
                  <w:hideMark/>
                </w:tcPr>
                <w:p w14:paraId="3FC04B77"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 </w:t>
                  </w:r>
                </w:p>
              </w:tc>
            </w:tr>
            <w:tr w:rsidR="007C1A22" w:rsidRPr="00D61E32" w14:paraId="7880BD14" w14:textId="77777777" w:rsidTr="00AA24AC">
              <w:trPr>
                <w:trHeight w:val="261"/>
              </w:trPr>
              <w:tc>
                <w:tcPr>
                  <w:tcW w:w="1639" w:type="dxa"/>
                  <w:tcBorders>
                    <w:top w:val="nil"/>
                    <w:left w:val="single" w:sz="4" w:space="0" w:color="auto"/>
                    <w:bottom w:val="single" w:sz="4" w:space="0" w:color="auto"/>
                    <w:right w:val="single" w:sz="4" w:space="0" w:color="auto"/>
                  </w:tcBorders>
                  <w:noWrap/>
                  <w:hideMark/>
                </w:tcPr>
                <w:p w14:paraId="7C77E67E"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Total approved</w:t>
                  </w:r>
                </w:p>
              </w:tc>
              <w:tc>
                <w:tcPr>
                  <w:tcW w:w="1496" w:type="dxa"/>
                  <w:tcBorders>
                    <w:top w:val="nil"/>
                    <w:left w:val="nil"/>
                    <w:bottom w:val="single" w:sz="4" w:space="0" w:color="auto"/>
                    <w:right w:val="single" w:sz="4" w:space="0" w:color="auto"/>
                  </w:tcBorders>
                  <w:noWrap/>
                  <w:vAlign w:val="bottom"/>
                  <w:hideMark/>
                </w:tcPr>
                <w:p w14:paraId="1ED27765"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45211 </w:t>
                  </w:r>
                </w:p>
              </w:tc>
              <w:tc>
                <w:tcPr>
                  <w:tcW w:w="920" w:type="dxa"/>
                  <w:tcBorders>
                    <w:top w:val="nil"/>
                    <w:left w:val="nil"/>
                    <w:bottom w:val="single" w:sz="4" w:space="0" w:color="auto"/>
                    <w:right w:val="single" w:sz="4" w:space="0" w:color="auto"/>
                  </w:tcBorders>
                  <w:noWrap/>
                  <w:vAlign w:val="bottom"/>
                  <w:hideMark/>
                </w:tcPr>
                <w:p w14:paraId="0B3B2ED8"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99.87%</w:t>
                  </w:r>
                </w:p>
              </w:tc>
            </w:tr>
            <w:tr w:rsidR="007C1A22" w:rsidRPr="00D61E32" w14:paraId="2659369A" w14:textId="77777777" w:rsidTr="00AA24AC">
              <w:trPr>
                <w:trHeight w:val="275"/>
              </w:trPr>
              <w:tc>
                <w:tcPr>
                  <w:tcW w:w="1639" w:type="dxa"/>
                  <w:tcBorders>
                    <w:top w:val="nil"/>
                    <w:left w:val="single" w:sz="4" w:space="0" w:color="auto"/>
                    <w:bottom w:val="single" w:sz="4" w:space="0" w:color="auto"/>
                    <w:right w:val="single" w:sz="4" w:space="0" w:color="auto"/>
                  </w:tcBorders>
                  <w:noWrap/>
                  <w:hideMark/>
                </w:tcPr>
                <w:p w14:paraId="7DE29356"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Total denied</w:t>
                  </w:r>
                </w:p>
              </w:tc>
              <w:tc>
                <w:tcPr>
                  <w:tcW w:w="1496" w:type="dxa"/>
                  <w:tcBorders>
                    <w:top w:val="nil"/>
                    <w:left w:val="nil"/>
                    <w:bottom w:val="single" w:sz="4" w:space="0" w:color="auto"/>
                    <w:right w:val="single" w:sz="4" w:space="0" w:color="auto"/>
                  </w:tcBorders>
                  <w:noWrap/>
                  <w:vAlign w:val="bottom"/>
                  <w:hideMark/>
                </w:tcPr>
                <w:p w14:paraId="783B39CF"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60 </w:t>
                  </w:r>
                </w:p>
              </w:tc>
              <w:tc>
                <w:tcPr>
                  <w:tcW w:w="920" w:type="dxa"/>
                  <w:tcBorders>
                    <w:top w:val="nil"/>
                    <w:left w:val="nil"/>
                    <w:bottom w:val="single" w:sz="4" w:space="0" w:color="auto"/>
                    <w:right w:val="single" w:sz="4" w:space="0" w:color="auto"/>
                  </w:tcBorders>
                  <w:noWrap/>
                  <w:vAlign w:val="bottom"/>
                  <w:hideMark/>
                </w:tcPr>
                <w:p w14:paraId="1325A5E0"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0.13%</w:t>
                  </w:r>
                </w:p>
              </w:tc>
            </w:tr>
            <w:tr w:rsidR="007C1A22" w:rsidRPr="00D61E32" w14:paraId="2E5C655E" w14:textId="77777777" w:rsidTr="00AA24AC">
              <w:trPr>
                <w:trHeight w:val="275"/>
              </w:trPr>
              <w:tc>
                <w:tcPr>
                  <w:tcW w:w="1639" w:type="dxa"/>
                  <w:tcBorders>
                    <w:top w:val="nil"/>
                    <w:left w:val="single" w:sz="4" w:space="0" w:color="auto"/>
                    <w:bottom w:val="single" w:sz="4" w:space="0" w:color="auto"/>
                    <w:right w:val="single" w:sz="4" w:space="0" w:color="auto"/>
                  </w:tcBorders>
                  <w:noWrap/>
                  <w:hideMark/>
                </w:tcPr>
                <w:p w14:paraId="47907C93"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Total number of denials appealed</w:t>
                  </w:r>
                </w:p>
              </w:tc>
              <w:tc>
                <w:tcPr>
                  <w:tcW w:w="1496" w:type="dxa"/>
                  <w:tcBorders>
                    <w:top w:val="nil"/>
                    <w:left w:val="nil"/>
                    <w:bottom w:val="single" w:sz="4" w:space="0" w:color="auto"/>
                    <w:right w:val="single" w:sz="4" w:space="0" w:color="auto"/>
                  </w:tcBorders>
                  <w:noWrap/>
                  <w:vAlign w:val="bottom"/>
                  <w:hideMark/>
                </w:tcPr>
                <w:p w14:paraId="0D07E9F3"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2 </w:t>
                  </w:r>
                </w:p>
              </w:tc>
              <w:tc>
                <w:tcPr>
                  <w:tcW w:w="920" w:type="dxa"/>
                  <w:tcBorders>
                    <w:top w:val="nil"/>
                    <w:left w:val="nil"/>
                    <w:bottom w:val="single" w:sz="4" w:space="0" w:color="auto"/>
                    <w:right w:val="single" w:sz="4" w:space="0" w:color="auto"/>
                  </w:tcBorders>
                  <w:noWrap/>
                  <w:vAlign w:val="bottom"/>
                  <w:hideMark/>
                </w:tcPr>
                <w:p w14:paraId="03A6BAE4"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0.03%</w:t>
                  </w:r>
                </w:p>
              </w:tc>
            </w:tr>
            <w:tr w:rsidR="007C1A22" w:rsidRPr="00D61E32" w14:paraId="64008C81" w14:textId="77777777" w:rsidTr="00AA24AC">
              <w:trPr>
                <w:trHeight w:val="275"/>
              </w:trPr>
              <w:tc>
                <w:tcPr>
                  <w:tcW w:w="1639" w:type="dxa"/>
                  <w:tcBorders>
                    <w:top w:val="nil"/>
                    <w:left w:val="single" w:sz="4" w:space="0" w:color="auto"/>
                    <w:bottom w:val="single" w:sz="4" w:space="0" w:color="auto"/>
                    <w:right w:val="single" w:sz="4" w:space="0" w:color="auto"/>
                  </w:tcBorders>
                  <w:noWrap/>
                  <w:vAlign w:val="bottom"/>
                  <w:hideMark/>
                </w:tcPr>
                <w:p w14:paraId="29A984E4"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Number of appeals overturned</w:t>
                  </w:r>
                </w:p>
              </w:tc>
              <w:tc>
                <w:tcPr>
                  <w:tcW w:w="1496" w:type="dxa"/>
                  <w:tcBorders>
                    <w:top w:val="nil"/>
                    <w:left w:val="nil"/>
                    <w:bottom w:val="single" w:sz="4" w:space="0" w:color="auto"/>
                    <w:right w:val="single" w:sz="4" w:space="0" w:color="auto"/>
                  </w:tcBorders>
                  <w:noWrap/>
                  <w:vAlign w:val="bottom"/>
                  <w:hideMark/>
                </w:tcPr>
                <w:p w14:paraId="675BEC14"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1 </w:t>
                  </w:r>
                </w:p>
              </w:tc>
              <w:tc>
                <w:tcPr>
                  <w:tcW w:w="920" w:type="dxa"/>
                  <w:tcBorders>
                    <w:top w:val="nil"/>
                    <w:left w:val="nil"/>
                    <w:bottom w:val="single" w:sz="4" w:space="0" w:color="auto"/>
                    <w:right w:val="single" w:sz="4" w:space="0" w:color="auto"/>
                  </w:tcBorders>
                  <w:noWrap/>
                  <w:vAlign w:val="bottom"/>
                  <w:hideMark/>
                </w:tcPr>
                <w:p w14:paraId="4C7C9F85"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0.17%</w:t>
                  </w:r>
                </w:p>
              </w:tc>
            </w:tr>
            <w:tr w:rsidR="007C1A22" w:rsidRPr="00D61E32" w14:paraId="2D1226FF" w14:textId="77777777" w:rsidTr="00AA24AC">
              <w:trPr>
                <w:trHeight w:val="275"/>
              </w:trPr>
              <w:tc>
                <w:tcPr>
                  <w:tcW w:w="1639" w:type="dxa"/>
                  <w:tcBorders>
                    <w:top w:val="nil"/>
                    <w:left w:val="single" w:sz="4" w:space="0" w:color="auto"/>
                    <w:bottom w:val="single" w:sz="4" w:space="0" w:color="auto"/>
                    <w:right w:val="single" w:sz="4" w:space="0" w:color="auto"/>
                  </w:tcBorders>
                  <w:noWrap/>
                  <w:vAlign w:val="bottom"/>
                  <w:hideMark/>
                </w:tcPr>
                <w:p w14:paraId="041B0CE1"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Number of appeals upheld</w:t>
                  </w:r>
                </w:p>
              </w:tc>
              <w:tc>
                <w:tcPr>
                  <w:tcW w:w="1496" w:type="dxa"/>
                  <w:tcBorders>
                    <w:top w:val="nil"/>
                    <w:left w:val="nil"/>
                    <w:bottom w:val="single" w:sz="4" w:space="0" w:color="auto"/>
                    <w:right w:val="single" w:sz="4" w:space="0" w:color="auto"/>
                  </w:tcBorders>
                  <w:noWrap/>
                  <w:vAlign w:val="bottom"/>
                  <w:hideMark/>
                </w:tcPr>
                <w:p w14:paraId="1CC9C951"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1 </w:t>
                  </w:r>
                </w:p>
              </w:tc>
              <w:tc>
                <w:tcPr>
                  <w:tcW w:w="920" w:type="dxa"/>
                  <w:tcBorders>
                    <w:top w:val="nil"/>
                    <w:left w:val="nil"/>
                    <w:bottom w:val="single" w:sz="4" w:space="0" w:color="auto"/>
                    <w:right w:val="single" w:sz="4" w:space="0" w:color="auto"/>
                  </w:tcBorders>
                  <w:noWrap/>
                  <w:vAlign w:val="bottom"/>
                  <w:hideMark/>
                </w:tcPr>
                <w:p w14:paraId="043CD709"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0.17%</w:t>
                  </w:r>
                </w:p>
              </w:tc>
            </w:tr>
            <w:tr w:rsidR="007C1A22" w:rsidRPr="00D61E32" w14:paraId="373C30F1" w14:textId="77777777" w:rsidTr="00AA24AC">
              <w:trPr>
                <w:trHeight w:val="359"/>
              </w:trPr>
              <w:tc>
                <w:tcPr>
                  <w:tcW w:w="1639" w:type="dxa"/>
                  <w:tcBorders>
                    <w:top w:val="nil"/>
                    <w:left w:val="single" w:sz="4" w:space="0" w:color="auto"/>
                    <w:bottom w:val="single" w:sz="4" w:space="0" w:color="auto"/>
                    <w:right w:val="single" w:sz="4" w:space="0" w:color="auto"/>
                  </w:tcBorders>
                  <w:noWrap/>
                  <w:hideMark/>
                </w:tcPr>
                <w:p w14:paraId="2C6EDD5A"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List Top 5  Credentialing  Denial Reasons</w:t>
                  </w:r>
                </w:p>
              </w:tc>
              <w:tc>
                <w:tcPr>
                  <w:tcW w:w="1496" w:type="dxa"/>
                  <w:tcBorders>
                    <w:top w:val="nil"/>
                    <w:left w:val="nil"/>
                    <w:bottom w:val="single" w:sz="4" w:space="0" w:color="auto"/>
                    <w:right w:val="single" w:sz="4" w:space="0" w:color="auto"/>
                  </w:tcBorders>
                  <w:hideMark/>
                </w:tcPr>
                <w:p w14:paraId="342EA1EF" w14:textId="78989C3B"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1. License Issue</w:t>
                  </w:r>
                  <w:r w:rsidRPr="00D61E32">
                    <w:rPr>
                      <w:rFonts w:ascii="Century Gothic" w:eastAsia="Times New Roman" w:hAnsi="Century Gothic" w:cs="Arial"/>
                      <w:color w:val="000000"/>
                    </w:rPr>
                    <w:br/>
                    <w:t>2. Malpractice Issue</w:t>
                  </w:r>
                </w:p>
              </w:tc>
              <w:tc>
                <w:tcPr>
                  <w:tcW w:w="920" w:type="dxa"/>
                  <w:tcBorders>
                    <w:top w:val="nil"/>
                    <w:left w:val="nil"/>
                    <w:bottom w:val="single" w:sz="4" w:space="0" w:color="auto"/>
                    <w:right w:val="single" w:sz="4" w:space="0" w:color="auto"/>
                  </w:tcBorders>
                  <w:noWrap/>
                  <w:vAlign w:val="bottom"/>
                  <w:hideMark/>
                </w:tcPr>
                <w:p w14:paraId="7C07184D"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 </w:t>
                  </w:r>
                </w:p>
              </w:tc>
            </w:tr>
            <w:tr w:rsidR="007C1A22" w:rsidRPr="00D61E32" w14:paraId="1A1141C6" w14:textId="77777777" w:rsidTr="00AA24AC">
              <w:trPr>
                <w:trHeight w:val="275"/>
              </w:trPr>
              <w:tc>
                <w:tcPr>
                  <w:tcW w:w="1639" w:type="dxa"/>
                  <w:tcBorders>
                    <w:top w:val="nil"/>
                    <w:left w:val="single" w:sz="4" w:space="0" w:color="auto"/>
                    <w:bottom w:val="single" w:sz="4" w:space="0" w:color="auto"/>
                    <w:right w:val="single" w:sz="4" w:space="0" w:color="auto"/>
                  </w:tcBorders>
                  <w:noWrap/>
                  <w:hideMark/>
                </w:tcPr>
                <w:p w14:paraId="1B2E67D8"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Average credentialing approval TAT</w:t>
                  </w:r>
                </w:p>
              </w:tc>
              <w:tc>
                <w:tcPr>
                  <w:tcW w:w="1496" w:type="dxa"/>
                  <w:tcBorders>
                    <w:top w:val="nil"/>
                    <w:left w:val="nil"/>
                    <w:bottom w:val="single" w:sz="4" w:space="0" w:color="auto"/>
                    <w:right w:val="single" w:sz="4" w:space="0" w:color="auto"/>
                  </w:tcBorders>
                  <w:noWrap/>
                  <w:vAlign w:val="bottom"/>
                  <w:hideMark/>
                </w:tcPr>
                <w:p w14:paraId="5E527839"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21.95 days</w:t>
                  </w:r>
                </w:p>
              </w:tc>
              <w:tc>
                <w:tcPr>
                  <w:tcW w:w="920" w:type="dxa"/>
                  <w:tcBorders>
                    <w:top w:val="nil"/>
                    <w:left w:val="nil"/>
                    <w:bottom w:val="single" w:sz="4" w:space="0" w:color="auto"/>
                    <w:right w:val="single" w:sz="4" w:space="0" w:color="auto"/>
                  </w:tcBorders>
                  <w:noWrap/>
                  <w:vAlign w:val="bottom"/>
                  <w:hideMark/>
                </w:tcPr>
                <w:p w14:paraId="1CDB09BC"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 </w:t>
                  </w:r>
                </w:p>
              </w:tc>
            </w:tr>
            <w:tr w:rsidR="007C1A22" w:rsidRPr="00D61E32" w14:paraId="5F049239" w14:textId="77777777" w:rsidTr="00AA24AC">
              <w:trPr>
                <w:trHeight w:val="275"/>
              </w:trPr>
              <w:tc>
                <w:tcPr>
                  <w:tcW w:w="1639" w:type="dxa"/>
                  <w:tcBorders>
                    <w:top w:val="nil"/>
                    <w:left w:val="single" w:sz="4" w:space="0" w:color="auto"/>
                    <w:bottom w:val="single" w:sz="4" w:space="0" w:color="auto"/>
                    <w:right w:val="single" w:sz="4" w:space="0" w:color="auto"/>
                  </w:tcBorders>
                  <w:noWrap/>
                  <w:hideMark/>
                </w:tcPr>
                <w:p w14:paraId="2314FF8E"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Average credentialing denial TAT</w:t>
                  </w:r>
                </w:p>
              </w:tc>
              <w:tc>
                <w:tcPr>
                  <w:tcW w:w="1496" w:type="dxa"/>
                  <w:tcBorders>
                    <w:top w:val="nil"/>
                    <w:left w:val="nil"/>
                    <w:bottom w:val="single" w:sz="4" w:space="0" w:color="auto"/>
                    <w:right w:val="single" w:sz="4" w:space="0" w:color="auto"/>
                  </w:tcBorders>
                  <w:noWrap/>
                  <w:vAlign w:val="bottom"/>
                  <w:hideMark/>
                </w:tcPr>
                <w:p w14:paraId="779CAE05" w14:textId="77777777" w:rsidR="007C1A22" w:rsidRPr="00D61E32" w:rsidRDefault="007C1A22" w:rsidP="007C1A22">
                  <w:pPr>
                    <w:spacing w:after="0" w:line="240" w:lineRule="auto"/>
                    <w:jc w:val="center"/>
                    <w:rPr>
                      <w:rFonts w:ascii="Century Gothic" w:eastAsia="Times New Roman" w:hAnsi="Century Gothic" w:cs="Arial"/>
                      <w:color w:val="000000"/>
                    </w:rPr>
                  </w:pPr>
                  <w:r w:rsidRPr="00D61E32">
                    <w:rPr>
                      <w:rFonts w:ascii="Century Gothic" w:eastAsia="Times New Roman" w:hAnsi="Century Gothic" w:cs="Arial"/>
                      <w:color w:val="000000"/>
                    </w:rPr>
                    <w:t xml:space="preserve"> 87.86 days</w:t>
                  </w:r>
                </w:p>
              </w:tc>
              <w:tc>
                <w:tcPr>
                  <w:tcW w:w="920" w:type="dxa"/>
                  <w:tcBorders>
                    <w:top w:val="nil"/>
                    <w:left w:val="nil"/>
                    <w:bottom w:val="single" w:sz="4" w:space="0" w:color="auto"/>
                    <w:right w:val="single" w:sz="4" w:space="0" w:color="auto"/>
                  </w:tcBorders>
                  <w:noWrap/>
                  <w:vAlign w:val="bottom"/>
                  <w:hideMark/>
                </w:tcPr>
                <w:p w14:paraId="50CCE1F0" w14:textId="77777777" w:rsidR="007C1A22" w:rsidRPr="00D61E32" w:rsidRDefault="007C1A22" w:rsidP="007C1A22">
                  <w:pPr>
                    <w:spacing w:after="0" w:line="240" w:lineRule="auto"/>
                    <w:rPr>
                      <w:rFonts w:ascii="Century Gothic" w:eastAsia="Times New Roman" w:hAnsi="Century Gothic" w:cs="Arial"/>
                      <w:color w:val="000000"/>
                    </w:rPr>
                  </w:pPr>
                  <w:r w:rsidRPr="00D61E32">
                    <w:rPr>
                      <w:rFonts w:ascii="Century Gothic" w:eastAsia="Times New Roman" w:hAnsi="Century Gothic" w:cs="Arial"/>
                      <w:color w:val="000000"/>
                    </w:rPr>
                    <w:t> </w:t>
                  </w:r>
                </w:p>
              </w:tc>
              <w:bookmarkEnd w:id="24"/>
            </w:tr>
          </w:tbl>
          <w:p w14:paraId="4D6A6CF9" w14:textId="77777777" w:rsidR="007C1A22" w:rsidRPr="00D61E32" w:rsidRDefault="007C1A22" w:rsidP="007C1A22">
            <w:pPr>
              <w:spacing w:after="0" w:line="240" w:lineRule="auto"/>
              <w:rPr>
                <w:rFonts w:ascii="Century Gothic" w:eastAsia="Times New Roman" w:hAnsi="Century Gothic" w:cs="Arial"/>
                <w:b/>
              </w:rPr>
            </w:pPr>
          </w:p>
        </w:tc>
      </w:tr>
      <w:tr w:rsidR="007C1A22" w:rsidRPr="00D61E32" w14:paraId="128E3AE3" w14:textId="77777777" w:rsidTr="004D49C2">
        <w:trPr>
          <w:trHeight w:val="82"/>
        </w:trPr>
        <w:tc>
          <w:tcPr>
            <w:tcW w:w="5000" w:type="pct"/>
            <w:gridSpan w:val="2"/>
            <w:tcBorders>
              <w:top w:val="single" w:sz="4" w:space="0" w:color="auto"/>
              <w:left w:val="single" w:sz="4" w:space="0" w:color="auto"/>
              <w:bottom w:val="single" w:sz="4" w:space="0" w:color="auto"/>
              <w:right w:val="single" w:sz="4" w:space="0" w:color="auto"/>
            </w:tcBorders>
          </w:tcPr>
          <w:p w14:paraId="67C03013"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WELLFLEET</w:t>
            </w:r>
          </w:p>
          <w:p w14:paraId="5301383F" w14:textId="77777777" w:rsidR="007C1A22" w:rsidRPr="00D61E32" w:rsidRDefault="007C1A22" w:rsidP="007C1A22">
            <w:pPr>
              <w:spacing w:after="0" w:line="240" w:lineRule="auto"/>
              <w:rPr>
                <w:rFonts w:ascii="Century Gothic" w:eastAsia="Calibri" w:hAnsi="Century Gothic" w:cs="Arial"/>
              </w:rPr>
            </w:pPr>
            <w:r w:rsidRPr="00D61E32">
              <w:rPr>
                <w:rFonts w:ascii="Century Gothic" w:eastAsia="Calibri" w:hAnsi="Century Gothic" w:cs="Arial"/>
              </w:rPr>
              <w:t xml:space="preserve">Wellfleet performed a comparison of average out of network claims payments during calendar year 2023 as a percentage of Medicare rates for the Wellfleet book of business for nine (9) CPT codes across three (3)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primary care physician types, five (5)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physician specialty types, four (4)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ancillary types and, one (1) MHSUD physician type, and two (2) MHSUD ancillary types. The results are as follows: </w:t>
            </w:r>
          </w:p>
          <w:p w14:paraId="1B11D0AD" w14:textId="77777777" w:rsidR="007C1A22" w:rsidRPr="00D61E32" w:rsidRDefault="007C1A22" w:rsidP="007C1A22">
            <w:pPr>
              <w:numPr>
                <w:ilvl w:val="0"/>
                <w:numId w:val="30"/>
              </w:numPr>
              <w:spacing w:after="0" w:line="240" w:lineRule="auto"/>
              <w:rPr>
                <w:rFonts w:ascii="Century Gothic" w:eastAsia="Calibri" w:hAnsi="Century Gothic" w:cs="Arial"/>
              </w:rPr>
            </w:pPr>
            <w:r w:rsidRPr="00D61E32">
              <w:rPr>
                <w:rFonts w:ascii="Century Gothic" w:eastAsia="Calibri" w:hAnsi="Century Gothic" w:cs="Arial"/>
              </w:rPr>
              <w:t>99203: T</w:t>
            </w:r>
            <w:bookmarkStart w:id="25" w:name="OLE_LINK16"/>
            <w:r w:rsidRPr="00D61E32">
              <w:rPr>
                <w:rFonts w:ascii="Century Gothic" w:eastAsia="Calibri" w:hAnsi="Century Gothic" w:cs="Arial"/>
              </w:rPr>
              <w:t xml:space="preserve">here were insufficient </w:t>
            </w:r>
            <w:bookmarkEnd w:id="25"/>
            <w:r w:rsidRPr="00D61E32">
              <w:rPr>
                <w:rFonts w:ascii="Century Gothic" w:eastAsia="Calibri" w:hAnsi="Century Gothic" w:cs="Arial"/>
              </w:rPr>
              <w:t xml:space="preserve">MH/SUD 99203 claims except for psychologists resulting on 373% more than Medicare, whereas the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claims for 99203 were from 114% to 241% of Medicare. No concerning differences were noted.</w:t>
            </w:r>
          </w:p>
          <w:p w14:paraId="4E4D90B7" w14:textId="77777777" w:rsidR="007C1A22" w:rsidRPr="00D61E32" w:rsidRDefault="007C1A22" w:rsidP="007C1A22">
            <w:pPr>
              <w:numPr>
                <w:ilvl w:val="0"/>
                <w:numId w:val="30"/>
              </w:numPr>
              <w:spacing w:after="0" w:line="240" w:lineRule="auto"/>
              <w:rPr>
                <w:rFonts w:ascii="Century Gothic" w:eastAsia="Calibri" w:hAnsi="Century Gothic" w:cs="Arial"/>
              </w:rPr>
            </w:pPr>
            <w:r w:rsidRPr="00D61E32">
              <w:rPr>
                <w:rFonts w:ascii="Century Gothic" w:eastAsia="Calibri" w:hAnsi="Century Gothic" w:cs="Arial"/>
              </w:rPr>
              <w:t xml:space="preserve">99213, 90832 &amp; 90834: MH/SUD psychiatrists, social workers and psychologists  were reimbursed the most (&gt; 500% of Medicare) vs.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PCPs (120-188% of Medicare) vs.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specialists (87%-311% of Medicare). </w:t>
            </w:r>
            <w:bookmarkStart w:id="26" w:name="OLE_LINK14"/>
            <w:r w:rsidRPr="00D61E32">
              <w:rPr>
                <w:rFonts w:ascii="Century Gothic" w:eastAsia="Calibri" w:hAnsi="Century Gothic" w:cs="Arial"/>
              </w:rPr>
              <w:t xml:space="preserve">The significant results for </w:t>
            </w:r>
            <w:bookmarkEnd w:id="26"/>
            <w:r w:rsidRPr="00D61E32">
              <w:rPr>
                <w:rFonts w:ascii="Century Gothic" w:eastAsia="Calibri" w:hAnsi="Century Gothic" w:cs="Arial"/>
              </w:rPr>
              <w:t>both M/S and MH/SUD show reimbursement substantially more for MHSUD.</w:t>
            </w:r>
          </w:p>
          <w:p w14:paraId="24233922" w14:textId="77777777" w:rsidR="007C1A22" w:rsidRPr="00D61E32" w:rsidRDefault="007C1A22" w:rsidP="007C1A22">
            <w:pPr>
              <w:numPr>
                <w:ilvl w:val="0"/>
                <w:numId w:val="30"/>
              </w:numPr>
              <w:spacing w:after="0" w:line="240" w:lineRule="auto"/>
              <w:rPr>
                <w:rFonts w:ascii="Century Gothic" w:eastAsia="Calibri" w:hAnsi="Century Gothic" w:cs="Arial"/>
              </w:rPr>
            </w:pPr>
            <w:r w:rsidRPr="00D61E32">
              <w:rPr>
                <w:rFonts w:ascii="Century Gothic" w:eastAsia="Calibri" w:hAnsi="Century Gothic" w:cs="Arial"/>
              </w:rPr>
              <w:t xml:space="preserve">99204 &amp; 90791: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shows significant outlier of Physical Therapy at 776% of Medicare whereas the rest of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shows average of 140-358% of Medicare.  MH/SUD </w:t>
            </w:r>
            <w:bookmarkStart w:id="27" w:name="OLE_LINK22"/>
            <w:r w:rsidRPr="00D61E32">
              <w:rPr>
                <w:rFonts w:ascii="Century Gothic" w:eastAsia="Calibri" w:hAnsi="Century Gothic" w:cs="Arial"/>
              </w:rPr>
              <w:t xml:space="preserve">significant results </w:t>
            </w:r>
            <w:bookmarkEnd w:id="27"/>
            <w:r w:rsidRPr="00D61E32">
              <w:rPr>
                <w:rFonts w:ascii="Century Gothic" w:eastAsia="Calibri" w:hAnsi="Century Gothic" w:cs="Arial"/>
              </w:rPr>
              <w:t xml:space="preserve">were both reimbursed &gt;285% of Medicare. No </w:t>
            </w:r>
            <w:bookmarkStart w:id="28" w:name="OLE_LINK21"/>
            <w:r w:rsidRPr="00D61E32">
              <w:rPr>
                <w:rFonts w:ascii="Century Gothic" w:eastAsia="Calibri" w:hAnsi="Century Gothic" w:cs="Arial"/>
              </w:rPr>
              <w:t xml:space="preserve">concerning </w:t>
            </w:r>
            <w:bookmarkStart w:id="29" w:name="OLE_LINK20"/>
            <w:r w:rsidRPr="00D61E32">
              <w:rPr>
                <w:rFonts w:ascii="Century Gothic" w:eastAsia="Calibri" w:hAnsi="Century Gothic" w:cs="Arial"/>
              </w:rPr>
              <w:t>differences were</w:t>
            </w:r>
            <w:bookmarkEnd w:id="28"/>
            <w:r w:rsidRPr="00D61E32">
              <w:rPr>
                <w:rFonts w:ascii="Century Gothic" w:eastAsia="Calibri" w:hAnsi="Century Gothic" w:cs="Arial"/>
              </w:rPr>
              <w:t xml:space="preserve"> </w:t>
            </w:r>
            <w:bookmarkEnd w:id="29"/>
            <w:r w:rsidRPr="00D61E32">
              <w:rPr>
                <w:rFonts w:ascii="Century Gothic" w:eastAsia="Calibri" w:hAnsi="Century Gothic" w:cs="Arial"/>
              </w:rPr>
              <w:t>noted.</w:t>
            </w:r>
          </w:p>
          <w:p w14:paraId="7D458DE4" w14:textId="77777777" w:rsidR="007C1A22" w:rsidRPr="00D61E32" w:rsidRDefault="007C1A22" w:rsidP="007C1A22">
            <w:pPr>
              <w:numPr>
                <w:ilvl w:val="0"/>
                <w:numId w:val="30"/>
              </w:numPr>
              <w:spacing w:after="0" w:line="240" w:lineRule="auto"/>
              <w:rPr>
                <w:rFonts w:ascii="Century Gothic" w:eastAsia="Calibri" w:hAnsi="Century Gothic" w:cs="Times New Roman"/>
              </w:rPr>
            </w:pPr>
            <w:r w:rsidRPr="00D61E32">
              <w:rPr>
                <w:rFonts w:ascii="Century Gothic" w:eastAsia="Calibri" w:hAnsi="Century Gothic" w:cs="Arial"/>
              </w:rPr>
              <w:t xml:space="preserve">99214, 90837 &amp; 90830: MHSUD claims show a significant % of Medicare reimbursed more than that of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providers. </w:t>
            </w:r>
          </w:p>
          <w:p w14:paraId="7061580A" w14:textId="77777777" w:rsidR="007C1A22" w:rsidRPr="00D61E32" w:rsidRDefault="007C1A22" w:rsidP="007C1A22">
            <w:pPr>
              <w:spacing w:after="0" w:line="240" w:lineRule="auto"/>
              <w:rPr>
                <w:rFonts w:ascii="Century Gothic" w:eastAsia="Calibri" w:hAnsi="Century Gothic" w:cs="Arial"/>
              </w:rPr>
            </w:pPr>
          </w:p>
          <w:p w14:paraId="571EB098" w14:textId="77777777" w:rsidR="007C1A22" w:rsidRPr="00D61E32" w:rsidRDefault="007C1A22" w:rsidP="007C1A22">
            <w:pPr>
              <w:spacing w:after="0" w:line="240" w:lineRule="auto"/>
              <w:rPr>
                <w:rFonts w:ascii="Century Gothic" w:eastAsia="Times New Roman" w:hAnsi="Century Gothic" w:cs="Times New Roman"/>
                <w:noProof/>
              </w:rPr>
            </w:pPr>
            <w:r w:rsidRPr="00D61E32">
              <w:rPr>
                <w:rFonts w:ascii="Century Gothic" w:eastAsia="Times New Roman" w:hAnsi="Century Gothic" w:cs="Arial"/>
                <w:b/>
              </w:rPr>
              <w:t xml:space="preserve">   </w:t>
            </w:r>
            <w:r w:rsidRPr="00D61E32">
              <w:rPr>
                <w:rFonts w:ascii="Century Gothic" w:eastAsia="Times New Roman" w:hAnsi="Century Gothic" w:cs="Times New Roman"/>
                <w:noProof/>
              </w:rPr>
              <w:drawing>
                <wp:inline distT="0" distB="0" distL="0" distR="0" wp14:anchorId="7474E7E4" wp14:editId="43F11CC6">
                  <wp:extent cx="4914900" cy="3190875"/>
                  <wp:effectExtent l="0" t="0" r="0" b="9525"/>
                  <wp:docPr id="1" name="Picture 3"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graph of a number of peopl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3190875"/>
                          </a:xfrm>
                          <a:prstGeom prst="rect">
                            <a:avLst/>
                          </a:prstGeom>
                          <a:noFill/>
                          <a:ln>
                            <a:noFill/>
                          </a:ln>
                        </pic:spPr>
                      </pic:pic>
                    </a:graphicData>
                  </a:graphic>
                </wp:inline>
              </w:drawing>
            </w:r>
            <w:r w:rsidRPr="00D61E32">
              <w:rPr>
                <w:rFonts w:ascii="Century Gothic" w:eastAsia="Times New Roman" w:hAnsi="Century Gothic" w:cs="Times New Roman"/>
                <w:noProof/>
              </w:rPr>
              <w:t xml:space="preserve"> </w:t>
            </w:r>
            <w:r w:rsidRPr="00D61E32">
              <w:rPr>
                <w:rFonts w:ascii="Century Gothic" w:eastAsia="Times New Roman" w:hAnsi="Century Gothic" w:cs="Times New Roman"/>
                <w:noProof/>
              </w:rPr>
              <w:drawing>
                <wp:inline distT="0" distB="0" distL="0" distR="0" wp14:anchorId="13E9B704" wp14:editId="081EDB30">
                  <wp:extent cx="5010150" cy="3228975"/>
                  <wp:effectExtent l="0" t="0" r="0" b="9525"/>
                  <wp:docPr id="2" name="Picture 4" descr="A graph with blue and whit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graph with blue and white bars&#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228975"/>
                          </a:xfrm>
                          <a:prstGeom prst="rect">
                            <a:avLst/>
                          </a:prstGeom>
                          <a:noFill/>
                          <a:ln>
                            <a:noFill/>
                          </a:ln>
                        </pic:spPr>
                      </pic:pic>
                    </a:graphicData>
                  </a:graphic>
                </wp:inline>
              </w:drawing>
            </w:r>
          </w:p>
          <w:p w14:paraId="4F699913"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Times New Roman"/>
                <w:noProof/>
              </w:rPr>
              <w:drawing>
                <wp:inline distT="0" distB="0" distL="0" distR="0" wp14:anchorId="22CB85E6" wp14:editId="74DC8AA3">
                  <wp:extent cx="5153025" cy="3305175"/>
                  <wp:effectExtent l="0" t="0" r="9525" b="9525"/>
                  <wp:docPr id="3" name="Picture 7" descr="A graph with blue and whit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graph with blue and white bar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3305175"/>
                          </a:xfrm>
                          <a:prstGeom prst="rect">
                            <a:avLst/>
                          </a:prstGeom>
                          <a:noFill/>
                          <a:ln>
                            <a:noFill/>
                          </a:ln>
                        </pic:spPr>
                      </pic:pic>
                    </a:graphicData>
                  </a:graphic>
                </wp:inline>
              </w:drawing>
            </w:r>
            <w:r w:rsidRPr="00D61E32">
              <w:rPr>
                <w:rFonts w:ascii="Century Gothic" w:eastAsia="Times New Roman" w:hAnsi="Century Gothic" w:cs="Times New Roman"/>
                <w:noProof/>
              </w:rPr>
              <w:t xml:space="preserve"> </w:t>
            </w:r>
            <w:r w:rsidRPr="00D61E32">
              <w:rPr>
                <w:rFonts w:ascii="Century Gothic" w:eastAsia="Times New Roman" w:hAnsi="Century Gothic" w:cs="Times New Roman"/>
                <w:noProof/>
              </w:rPr>
              <w:drawing>
                <wp:inline distT="0" distB="0" distL="0" distR="0" wp14:anchorId="4BBF975C" wp14:editId="101E7FEA">
                  <wp:extent cx="6191250" cy="4048125"/>
                  <wp:effectExtent l="0" t="0" r="0" b="9525"/>
                  <wp:docPr id="4" name="Picture 8"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screenshot of a graph&#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4048125"/>
                          </a:xfrm>
                          <a:prstGeom prst="rect">
                            <a:avLst/>
                          </a:prstGeom>
                          <a:noFill/>
                          <a:ln>
                            <a:noFill/>
                          </a:ln>
                        </pic:spPr>
                      </pic:pic>
                    </a:graphicData>
                  </a:graphic>
                </wp:inline>
              </w:drawing>
            </w:r>
          </w:p>
          <w:p w14:paraId="21225049" w14:textId="77777777" w:rsidR="007C1A22" w:rsidRPr="00D61E32" w:rsidRDefault="007C1A22" w:rsidP="007C1A22">
            <w:pPr>
              <w:spacing w:after="0" w:line="240" w:lineRule="auto"/>
              <w:rPr>
                <w:rFonts w:ascii="Century Gothic" w:eastAsia="Times New Roman" w:hAnsi="Century Gothic" w:cs="Arial"/>
                <w:b/>
              </w:rPr>
            </w:pPr>
          </w:p>
          <w:p w14:paraId="3C6EC6F4" w14:textId="77777777" w:rsidR="007C1A22" w:rsidRPr="00D61E32" w:rsidRDefault="007C1A22" w:rsidP="007C1A22">
            <w:pPr>
              <w:spacing w:after="0" w:line="240" w:lineRule="auto"/>
              <w:rPr>
                <w:rFonts w:ascii="Century Gothic" w:eastAsia="Times New Roman" w:hAnsi="Century Gothic" w:cs="Arial"/>
                <w:b/>
              </w:rPr>
            </w:pPr>
          </w:p>
          <w:p w14:paraId="00D34E98" w14:textId="77777777" w:rsidR="007C1A22" w:rsidRPr="00D61E32" w:rsidRDefault="007C1A22" w:rsidP="007C1A22">
            <w:pPr>
              <w:spacing w:after="0" w:line="240" w:lineRule="auto"/>
              <w:rPr>
                <w:rFonts w:ascii="Century Gothic" w:eastAsia="Times New Roman" w:hAnsi="Century Gothic" w:cs="Arial"/>
                <w:b/>
              </w:rPr>
            </w:pPr>
            <w:r w:rsidRPr="00D61E32">
              <w:rPr>
                <w:rFonts w:ascii="Century Gothic" w:eastAsia="Times New Roman" w:hAnsi="Century Gothic" w:cs="Arial"/>
                <w:b/>
              </w:rPr>
              <w:t xml:space="preserve">  </w:t>
            </w:r>
          </w:p>
          <w:p w14:paraId="457AC96D" w14:textId="77777777" w:rsidR="007C1A22" w:rsidRPr="00D61E32" w:rsidRDefault="007C1A22" w:rsidP="007C1A22">
            <w:pPr>
              <w:spacing w:after="0" w:line="240" w:lineRule="auto"/>
              <w:rPr>
                <w:rFonts w:ascii="Century Gothic" w:eastAsia="Times New Roman" w:hAnsi="Century Gothic" w:cs="Arial"/>
                <w:b/>
              </w:rPr>
            </w:pPr>
          </w:p>
        </w:tc>
      </w:tr>
      <w:tr w:rsidR="007C1A22" w:rsidRPr="00D61E32" w14:paraId="679C313E" w14:textId="77777777" w:rsidTr="004D49C2">
        <w:trPr>
          <w:trHeight w:val="2348"/>
        </w:trPr>
        <w:tc>
          <w:tcPr>
            <w:tcW w:w="5000" w:type="pct"/>
            <w:gridSpan w:val="2"/>
            <w:tcBorders>
              <w:top w:val="single" w:sz="4" w:space="0" w:color="auto"/>
              <w:left w:val="single" w:sz="4" w:space="0" w:color="auto"/>
              <w:bottom w:val="single" w:sz="4" w:space="0" w:color="auto"/>
              <w:right w:val="single" w:sz="4" w:space="0" w:color="auto"/>
            </w:tcBorders>
            <w:hideMark/>
          </w:tcPr>
          <w:p w14:paraId="7575BEB3" w14:textId="77777777" w:rsidR="007C1A22" w:rsidRPr="00D61E32" w:rsidRDefault="007C1A22" w:rsidP="007C1A22">
            <w:pPr>
              <w:spacing w:after="240" w:line="264" w:lineRule="auto"/>
              <w:rPr>
                <w:rFonts w:ascii="Century Gothic" w:eastAsia="Calibri" w:hAnsi="Century Gothic" w:cs="Arial"/>
                <w:b/>
                <w:bCs/>
                <w:iCs/>
                <w:u w:val="single"/>
              </w:rPr>
            </w:pPr>
            <w:r w:rsidRPr="00D61E32">
              <w:rPr>
                <w:rFonts w:ascii="Century Gothic" w:eastAsia="Calibri" w:hAnsi="Century Gothic" w:cs="Arial"/>
                <w:b/>
                <w:bCs/>
                <w:iCs/>
                <w:u w:val="single"/>
              </w:rPr>
              <w:t xml:space="preserve">In operation – comparative analysis: </w:t>
            </w:r>
          </w:p>
          <w:p w14:paraId="4121C79F" w14:textId="77777777" w:rsidR="007C1A22" w:rsidRPr="00D61E32" w:rsidRDefault="007C1A22" w:rsidP="007C1A22">
            <w:pPr>
              <w:spacing w:after="240" w:line="264" w:lineRule="auto"/>
              <w:rPr>
                <w:rFonts w:ascii="Century Gothic" w:eastAsia="Calibri" w:hAnsi="Century Gothic" w:cs="Arial"/>
                <w:iCs/>
              </w:rPr>
            </w:pPr>
            <w:r w:rsidRPr="00D61E32">
              <w:rPr>
                <w:rFonts w:ascii="Century Gothic" w:eastAsia="Calibri" w:hAnsi="Century Gothic" w:cs="Arial"/>
                <w:b/>
                <w:bCs/>
                <w:iCs/>
              </w:rPr>
              <w:t xml:space="preserve">Network adequacy: </w:t>
            </w:r>
            <w:r w:rsidRPr="00D61E32">
              <w:rPr>
                <w:rFonts w:ascii="Century Gothic" w:eastAsia="Calibri" w:hAnsi="Century Gothic" w:cs="Arial"/>
                <w:iCs/>
              </w:rPr>
              <w:t xml:space="preserve">A review of Cigna’s Network Adequacy reports for Cigna’s national network revealed sufficient access to M/S and MH/SUD providers. Cigna meets adequacy and accessibility requirements for M/S and MH/SUD providers using comparable standards, with M/S providers subject to more stringent standards. At present, Cigna meets all provider ratio access requirements for </w:t>
            </w:r>
            <w:proofErr w:type="gramStart"/>
            <w:r w:rsidRPr="00D61E32">
              <w:rPr>
                <w:rFonts w:ascii="Century Gothic" w:eastAsia="Calibri" w:hAnsi="Century Gothic" w:cs="Arial"/>
                <w:iCs/>
              </w:rPr>
              <w:t>Masters</w:t>
            </w:r>
            <w:proofErr w:type="gramEnd"/>
            <w:r w:rsidRPr="00D61E32">
              <w:rPr>
                <w:rFonts w:ascii="Century Gothic" w:eastAsia="Calibri" w:hAnsi="Century Gothic" w:cs="Arial"/>
                <w:iCs/>
              </w:rPr>
              <w:t xml:space="preserve"> Level Clinicians, Psychologist/Nurse Practitioners with prescribing privileges, Physicians, Inpatient Facility and Residential Facility for the MH/SUD Network. Cigna also meets all provider ratio access requirements for adult and pediatric PCP; high volume specialty including cardiology, dermatology, ophthalmology, and orthopedics; and high impact specialty for hematology/oncology, infectious disease, nephrology, neurology and pulmonary.  Holistically, when reviewing the current snapshot of both the M/S and MH/SUD networks, Cigna also meets provider access radius requirements. When reviewed individually by state, deficiencies are noted in rural areas such as Alaska, Idaho, Montana, </w:t>
            </w:r>
            <w:proofErr w:type="gramStart"/>
            <w:r w:rsidRPr="00D61E32">
              <w:rPr>
                <w:rFonts w:ascii="Century Gothic" w:eastAsia="Calibri" w:hAnsi="Century Gothic" w:cs="Arial"/>
                <w:iCs/>
              </w:rPr>
              <w:t>South Dakota</w:t>
            </w:r>
            <w:proofErr w:type="gramEnd"/>
            <w:r w:rsidRPr="00D61E32">
              <w:rPr>
                <w:rFonts w:ascii="Century Gothic" w:eastAsia="Calibri" w:hAnsi="Century Gothic" w:cs="Arial"/>
                <w:iCs/>
              </w:rPr>
              <w:t xml:space="preserve"> and Wyoming in both the M/S and MH/SUD Networks. Lastly, Cigna reviewed the percentages of exceptions for obtaining out-of-network M/S and MH/SUD services at the in-network benefit level to ensure operational parity compliance. Data revealed a significantly larger number of M/S network exceptions denied including both medical necessity and administrative denials than denials of MH/SUD network exceptions. </w:t>
            </w:r>
          </w:p>
          <w:p w14:paraId="47F3FC7F" w14:textId="77777777" w:rsidR="007C1A22" w:rsidRPr="00D61E32" w:rsidRDefault="007C1A22" w:rsidP="007C1A22">
            <w:pPr>
              <w:spacing w:after="240" w:line="264" w:lineRule="auto"/>
              <w:rPr>
                <w:rFonts w:ascii="Century Gothic" w:eastAsia="Calibri" w:hAnsi="Century Gothic" w:cs="Arial"/>
                <w:iCs/>
              </w:rPr>
            </w:pPr>
            <w:r w:rsidRPr="00D61E32">
              <w:rPr>
                <w:rFonts w:ascii="Century Gothic" w:eastAsia="Calibri" w:hAnsi="Century Gothic" w:cs="Arial"/>
                <w:b/>
                <w:bCs/>
                <w:iCs/>
              </w:rPr>
              <w:t xml:space="preserve">Credentialing: </w:t>
            </w:r>
            <w:r w:rsidRPr="00D61E32">
              <w:rPr>
                <w:rFonts w:ascii="Century Gothic" w:eastAsia="Calibri" w:hAnsi="Century Gothic" w:cs="Arial"/>
                <w:iCs/>
              </w:rPr>
              <w:t xml:space="preserve">An “in operation” review of Cigna’s credentialing applications, approvals and denials of providers revealed no disparate outcomes in credentialing approvals or denials as between M/S and MH/SUD physician providers. The average time it took Cigna to review and approve a credentialing application for both M/S and MH/SUD providers was 23.6 days, a </w:t>
            </w:r>
            <w:proofErr w:type="gramStart"/>
            <w:r w:rsidRPr="00D61E32">
              <w:rPr>
                <w:rFonts w:ascii="Century Gothic" w:eastAsia="Calibri" w:hAnsi="Century Gothic" w:cs="Arial"/>
                <w:iCs/>
              </w:rPr>
              <w:t>25 day</w:t>
            </w:r>
            <w:proofErr w:type="gramEnd"/>
            <w:r w:rsidRPr="00D61E32">
              <w:rPr>
                <w:rFonts w:ascii="Century Gothic" w:eastAsia="Calibri" w:hAnsi="Century Gothic" w:cs="Arial"/>
                <w:iCs/>
              </w:rPr>
              <w:t xml:space="preserve"> approval average for M/S providers and a shorter 22 day approval average for MH/SUD providers.  The average time it took Cigna to review and deny a credentialing application for both M/S and MH/SUD providers was 87 days. These credentialing process metrics indicate a comparable process in-operation based on the time to review, a significantly lower </w:t>
            </w:r>
            <w:proofErr w:type="gramStart"/>
            <w:r w:rsidRPr="00D61E32">
              <w:rPr>
                <w:rFonts w:ascii="Century Gothic" w:eastAsia="Calibri" w:hAnsi="Century Gothic" w:cs="Arial"/>
                <w:iCs/>
              </w:rPr>
              <w:t>amount</w:t>
            </w:r>
            <w:proofErr w:type="gramEnd"/>
            <w:r w:rsidRPr="00D61E32">
              <w:rPr>
                <w:rFonts w:ascii="Century Gothic" w:eastAsia="Calibri" w:hAnsi="Century Gothic" w:cs="Arial"/>
                <w:iCs/>
              </w:rPr>
              <w:t xml:space="preserve"> of denials of MH/SUD provider credentialing applications, and comparable incidences of denials of MH/SUD and M/S provider credentialing denial overturns on appeal.  Consequently, Cigna concludes that the NQTL was applied comparably and no more stringently to MH/SUD benefits than to M/S benefits.</w:t>
            </w:r>
          </w:p>
          <w:p w14:paraId="762A76E4" w14:textId="77777777" w:rsidR="007C1A22" w:rsidRPr="00D61E32" w:rsidRDefault="007C1A22" w:rsidP="007C1A22">
            <w:pPr>
              <w:spacing w:after="120" w:line="240" w:lineRule="auto"/>
              <w:rPr>
                <w:rFonts w:ascii="Century Gothic" w:eastAsia="Times New Roman" w:hAnsi="Century Gothic" w:cs="Arial"/>
                <w:iCs/>
              </w:rPr>
            </w:pPr>
            <w:r w:rsidRPr="00D61E32">
              <w:rPr>
                <w:rFonts w:ascii="Century Gothic" w:eastAsia="Times New Roman" w:hAnsi="Century Gothic" w:cs="Arial"/>
                <w:b/>
                <w:bCs/>
                <w:iCs/>
              </w:rPr>
              <w:t>Reimbursement</w:t>
            </w:r>
            <w:r w:rsidRPr="00D61E32">
              <w:rPr>
                <w:rFonts w:ascii="Century Gothic" w:eastAsia="Times New Roman" w:hAnsi="Century Gothic" w:cs="Arial"/>
                <w:iCs/>
              </w:rPr>
              <w:t xml:space="preserve">: </w:t>
            </w:r>
          </w:p>
          <w:p w14:paraId="561FF21A" w14:textId="77777777" w:rsidR="007C1A22" w:rsidRPr="00D61E32" w:rsidRDefault="007C1A22" w:rsidP="007C1A22">
            <w:pPr>
              <w:spacing w:after="120" w:line="240" w:lineRule="auto"/>
              <w:rPr>
                <w:rFonts w:ascii="Century Gothic" w:eastAsia="Times New Roman" w:hAnsi="Century Gothic" w:cs="Arial"/>
                <w:b/>
                <w:bCs/>
                <w:iCs/>
                <w:u w:val="single"/>
              </w:rPr>
            </w:pPr>
            <w:r w:rsidRPr="00D61E32">
              <w:rPr>
                <w:rFonts w:ascii="Century Gothic" w:eastAsia="Times New Roman" w:hAnsi="Century Gothic" w:cs="Arial"/>
                <w:b/>
                <w:bCs/>
                <w:iCs/>
                <w:u w:val="single"/>
              </w:rPr>
              <w:t xml:space="preserve">Wellfleet </w:t>
            </w:r>
          </w:p>
          <w:p w14:paraId="2297B13B" w14:textId="77777777" w:rsidR="007C1A22" w:rsidRPr="00D61E32" w:rsidRDefault="007C1A22" w:rsidP="007C1A22">
            <w:pPr>
              <w:spacing w:after="120" w:line="240" w:lineRule="auto"/>
              <w:rPr>
                <w:rFonts w:ascii="Century Gothic" w:eastAsia="Times New Roman" w:hAnsi="Century Gothic" w:cs="Arial"/>
                <w:iCs/>
              </w:rPr>
            </w:pPr>
            <w:r w:rsidRPr="00D61E32">
              <w:rPr>
                <w:rFonts w:ascii="Century Gothic" w:eastAsia="Times New Roman" w:hAnsi="Century Gothic" w:cs="Arial"/>
                <w:iCs/>
              </w:rPr>
              <w:t xml:space="preserve">In terms of operational parity compliance, Wellfleet has assessed the reimbursement rates paid across its book-of-business by reference to reimbursement data in 2023. In its assessment, Wellfleet reviewed CPT codes </w:t>
            </w:r>
            <w:r w:rsidRPr="00D61E32">
              <w:rPr>
                <w:rFonts w:ascii="Century Gothic" w:eastAsia="Times New Roman" w:hAnsi="Century Gothic" w:cs="Arial"/>
              </w:rPr>
              <w:t xml:space="preserve">for ancillary, PCP, and specialists for MHSUD &amp; </w:t>
            </w:r>
            <w:proofErr w:type="spellStart"/>
            <w:r w:rsidRPr="00D61E32">
              <w:rPr>
                <w:rFonts w:ascii="Century Gothic" w:eastAsia="Times New Roman" w:hAnsi="Century Gothic" w:cs="Arial"/>
              </w:rPr>
              <w:t>MedSurg</w:t>
            </w:r>
            <w:proofErr w:type="spellEnd"/>
            <w:r w:rsidRPr="00D61E32">
              <w:rPr>
                <w:rFonts w:ascii="Century Gothic" w:eastAsia="Times New Roman" w:hAnsi="Century Gothic" w:cs="Arial"/>
              </w:rPr>
              <w:t>. Wellfleet has determined that the reimbursement rates are comparable and not more stringent once Wellfleet eliminates the high outlier claims for ancillary therapy provider types. By contrast, MH/SUD providers are reimbursed at a higher or comparable average for CPT codes 99203, 99213, 99214, 90832, 90834, 90837, &amp; 90839,  compared to M/S providers.</w:t>
            </w:r>
          </w:p>
          <w:p w14:paraId="3076D97C" w14:textId="77777777" w:rsidR="007C1A22" w:rsidRPr="00D61E32" w:rsidRDefault="007C1A22" w:rsidP="007C1A22">
            <w:pPr>
              <w:spacing w:after="0" w:line="240" w:lineRule="auto"/>
              <w:rPr>
                <w:rFonts w:ascii="Century Gothic" w:eastAsia="Times New Roman" w:hAnsi="Century Gothic" w:cs="Arial"/>
                <w:iCs/>
              </w:rPr>
            </w:pPr>
            <w:bookmarkStart w:id="30" w:name="OLE_LINK6"/>
            <w:r w:rsidRPr="00D61E32">
              <w:rPr>
                <w:rFonts w:ascii="Century Gothic" w:eastAsia="Times New Roman" w:hAnsi="Century Gothic" w:cs="Times New Roman"/>
              </w:rPr>
              <w:t xml:space="preserve">The analysis of the 2023 claims reimbursement demonstrates </w:t>
            </w:r>
            <w:bookmarkStart w:id="31" w:name="OLE_LINK28"/>
            <w:r w:rsidRPr="00D61E32">
              <w:rPr>
                <w:rFonts w:ascii="Century Gothic" w:eastAsia="Times New Roman" w:hAnsi="Century Gothic" w:cs="Arial"/>
                <w:iCs/>
              </w:rPr>
              <w:t xml:space="preserve">the payment versus Medicare rates for the same provider types and CPT codes did not provide concerns regarding possible issues with disparities in payment between similar types of MH/SUD versus </w:t>
            </w:r>
            <w:proofErr w:type="spellStart"/>
            <w:r w:rsidRPr="00D61E32">
              <w:rPr>
                <w:rFonts w:ascii="Century Gothic" w:eastAsia="Times New Roman" w:hAnsi="Century Gothic" w:cs="Arial"/>
                <w:iCs/>
              </w:rPr>
              <w:t>MedSurg</w:t>
            </w:r>
            <w:proofErr w:type="spellEnd"/>
            <w:r w:rsidRPr="00D61E32">
              <w:rPr>
                <w:rFonts w:ascii="Century Gothic" w:eastAsia="Times New Roman" w:hAnsi="Century Gothic" w:cs="Arial"/>
                <w:iCs/>
              </w:rPr>
              <w:t xml:space="preserve"> providers. Moreover, as demonstrated by the bar graphs, the reimbursement rates as a percentage of Medicare for MH/SUD providers are comparable or higher than the reimbursement rates as a percentage of Medicare for </w:t>
            </w:r>
            <w:proofErr w:type="spellStart"/>
            <w:r w:rsidRPr="00D61E32">
              <w:rPr>
                <w:rFonts w:ascii="Century Gothic" w:eastAsia="Times New Roman" w:hAnsi="Century Gothic" w:cs="Arial"/>
                <w:iCs/>
              </w:rPr>
              <w:t>MedSurg</w:t>
            </w:r>
            <w:proofErr w:type="spellEnd"/>
            <w:r w:rsidRPr="00D61E32">
              <w:rPr>
                <w:rFonts w:ascii="Century Gothic" w:eastAsia="Times New Roman" w:hAnsi="Century Gothic" w:cs="Arial"/>
                <w:iCs/>
              </w:rPr>
              <w:t xml:space="preserve"> providers, apart from therapists, who are a significant outlier for specified code groups for both in-network and out-of-network reimbursement. Therefore, </w:t>
            </w:r>
            <w:r w:rsidRPr="00D61E32">
              <w:rPr>
                <w:rFonts w:ascii="Century Gothic" w:eastAsia="Times New Roman" w:hAnsi="Century Gothic" w:cs="Arial"/>
                <w:i/>
              </w:rPr>
              <w:t>in operation</w:t>
            </w:r>
            <w:r w:rsidRPr="00D61E32">
              <w:rPr>
                <w:rFonts w:ascii="Century Gothic" w:eastAsia="Times New Roman" w:hAnsi="Century Gothic" w:cs="Arial"/>
                <w:iCs/>
              </w:rPr>
              <w:t xml:space="preserve">, the processes, standards, factors, and sources used to apply reimbursement to MH/SUD services </w:t>
            </w:r>
            <w:proofErr w:type="gramStart"/>
            <w:r w:rsidRPr="00D61E32">
              <w:rPr>
                <w:rFonts w:ascii="Century Gothic" w:eastAsia="Times New Roman" w:hAnsi="Century Gothic" w:cs="Arial"/>
                <w:iCs/>
              </w:rPr>
              <w:t>is</w:t>
            </w:r>
            <w:proofErr w:type="gramEnd"/>
            <w:r w:rsidRPr="00D61E32">
              <w:rPr>
                <w:rFonts w:ascii="Century Gothic" w:eastAsia="Times New Roman" w:hAnsi="Century Gothic" w:cs="Arial"/>
                <w:iCs/>
              </w:rPr>
              <w:t xml:space="preserve"> comparable and not more stringent than the processes, standards, factors, and sources used to apply reimbursement to </w:t>
            </w:r>
            <w:proofErr w:type="spellStart"/>
            <w:r w:rsidRPr="00D61E32">
              <w:rPr>
                <w:rFonts w:ascii="Century Gothic" w:eastAsia="Times New Roman" w:hAnsi="Century Gothic" w:cs="Arial"/>
                <w:iCs/>
              </w:rPr>
              <w:t>MedSurg</w:t>
            </w:r>
            <w:proofErr w:type="spellEnd"/>
            <w:r w:rsidRPr="00D61E32">
              <w:rPr>
                <w:rFonts w:ascii="Century Gothic" w:eastAsia="Times New Roman" w:hAnsi="Century Gothic" w:cs="Arial"/>
                <w:iCs/>
              </w:rPr>
              <w:t xml:space="preserve"> services. Wellfleet concludes that it applies reimbursement either equally or less stringently for MH/SUD providers than it does for </w:t>
            </w:r>
            <w:proofErr w:type="spellStart"/>
            <w:r w:rsidRPr="00D61E32">
              <w:rPr>
                <w:rFonts w:ascii="Century Gothic" w:eastAsia="Times New Roman" w:hAnsi="Century Gothic" w:cs="Arial"/>
                <w:iCs/>
              </w:rPr>
              <w:t>MedSurg</w:t>
            </w:r>
            <w:proofErr w:type="spellEnd"/>
            <w:r w:rsidRPr="00D61E32">
              <w:rPr>
                <w:rFonts w:ascii="Century Gothic" w:eastAsia="Times New Roman" w:hAnsi="Century Gothic" w:cs="Arial"/>
                <w:iCs/>
              </w:rPr>
              <w:t xml:space="preserve"> providers</w:t>
            </w:r>
            <w:bookmarkEnd w:id="31"/>
            <w:r w:rsidRPr="00D61E32">
              <w:rPr>
                <w:rFonts w:ascii="Century Gothic" w:eastAsia="Times New Roman" w:hAnsi="Century Gothic" w:cs="Arial"/>
                <w:iCs/>
              </w:rPr>
              <w:t>.</w:t>
            </w:r>
            <w:bookmarkEnd w:id="30"/>
            <w:r w:rsidRPr="00D61E32">
              <w:rPr>
                <w:rFonts w:ascii="Century Gothic" w:eastAsia="Times New Roman" w:hAnsi="Century Gothic" w:cs="Arial"/>
                <w:bCs/>
              </w:rPr>
              <w:t xml:space="preserve"> </w:t>
            </w:r>
            <w:r w:rsidRPr="00D61E32">
              <w:rPr>
                <w:rFonts w:ascii="Century Gothic" w:eastAsia="Times New Roman" w:hAnsi="Century Gothic" w:cs="Arial"/>
                <w:iCs/>
              </w:rPr>
              <w:t xml:space="preserve">While operational outcomes are not determinative of NQTL compliance, and a plan may comply with the NQTL requirement notwithstanding a disparate outcome for an NQTL applied to MH/SUD benefits as compared to M/S benefits, comparable outcomes can help evidence compliance with the in-operation component of the NQTL requirement. </w:t>
            </w:r>
          </w:p>
          <w:p w14:paraId="5A823499" w14:textId="77777777" w:rsidR="007C1A22" w:rsidRPr="00D61E32" w:rsidRDefault="007C1A22" w:rsidP="007C1A22">
            <w:pPr>
              <w:spacing w:after="120" w:line="240" w:lineRule="auto"/>
              <w:rPr>
                <w:rFonts w:ascii="Century Gothic" w:eastAsia="Times New Roman" w:hAnsi="Century Gothic" w:cs="Arial"/>
                <w:b/>
                <w:bCs/>
                <w:u w:val="single"/>
              </w:rPr>
            </w:pPr>
            <w:r w:rsidRPr="00D61E32">
              <w:rPr>
                <w:rFonts w:ascii="Century Gothic" w:eastAsia="Times New Roman" w:hAnsi="Century Gothic" w:cs="Arial"/>
                <w:b/>
                <w:bCs/>
                <w:iCs/>
                <w:u w:val="single"/>
              </w:rPr>
              <w:t>Cigna</w:t>
            </w:r>
          </w:p>
          <w:p w14:paraId="5028C785" w14:textId="77777777" w:rsidR="007C1A22" w:rsidRPr="00D61E32" w:rsidRDefault="007C1A22" w:rsidP="007C1A22">
            <w:pPr>
              <w:spacing w:after="120" w:line="240" w:lineRule="auto"/>
              <w:rPr>
                <w:rFonts w:ascii="Century Gothic" w:eastAsia="Times New Roman" w:hAnsi="Century Gothic" w:cs="Arial"/>
                <w:iCs/>
              </w:rPr>
            </w:pPr>
            <w:r w:rsidRPr="00D61E32">
              <w:rPr>
                <w:rFonts w:ascii="Century Gothic" w:eastAsia="Times New Roman" w:hAnsi="Century Gothic" w:cs="Arial"/>
                <w:iCs/>
              </w:rPr>
              <w:t xml:space="preserve">In  December 2021, Cigna conducted a comparison of DRG reimbursement to in-network M/S facilities compared to per diem used for MH/SUD in-network facility-based services. To conduct the comparative analysis of in-network facility reimbursement by DRG payment system methodology versus per diem payment methodology, Cigna did not target a specific facility’s DRGs, but rather claim line data aligning a DRG to a diagnostic code only. The top 35 diagnostic codes were obtained from the dataset through a group by statement ordered descending to identify the 35 diagnostic codes with the highest allowed spend for the time period of the </w:t>
            </w:r>
            <w:proofErr w:type="gramStart"/>
            <w:r w:rsidRPr="00D61E32">
              <w:rPr>
                <w:rFonts w:ascii="Century Gothic" w:eastAsia="Times New Roman" w:hAnsi="Century Gothic" w:cs="Arial"/>
                <w:iCs/>
              </w:rPr>
              <w:t>analysis;</w:t>
            </w:r>
            <w:proofErr w:type="gramEnd"/>
            <w:r w:rsidRPr="00D61E32">
              <w:rPr>
                <w:rFonts w:ascii="Century Gothic" w:eastAsia="Times New Roman" w:hAnsi="Century Gothic" w:cs="Arial"/>
                <w:iCs/>
              </w:rPr>
              <w:t xml:space="preserve"> FY2020.  An average allowed amount was derived at the diagnostic code level for a comparison of Avg. Per Day, Avg. Per Unit, and Avg. Per Member from claim line data designated as Behavioral compared to claim line </w:t>
            </w:r>
            <w:proofErr w:type="gramStart"/>
            <w:r w:rsidRPr="00D61E32">
              <w:rPr>
                <w:rFonts w:ascii="Century Gothic" w:eastAsia="Times New Roman" w:hAnsi="Century Gothic" w:cs="Arial"/>
                <w:iCs/>
              </w:rPr>
              <w:t>date</w:t>
            </w:r>
            <w:proofErr w:type="gramEnd"/>
            <w:r w:rsidRPr="00D61E32">
              <w:rPr>
                <w:rFonts w:ascii="Century Gothic" w:eastAsia="Times New Roman" w:hAnsi="Century Gothic" w:cs="Arial"/>
                <w:iCs/>
              </w:rPr>
              <w:t xml:space="preserve"> designated as Medical. The analysis was not inclusive of expected lengths of stay.  </w:t>
            </w:r>
          </w:p>
          <w:p w14:paraId="477B0F69" w14:textId="77777777" w:rsidR="007C1A22" w:rsidRPr="00D61E32" w:rsidRDefault="007C1A22" w:rsidP="007C1A22">
            <w:pPr>
              <w:spacing w:after="240" w:line="240" w:lineRule="auto"/>
              <w:rPr>
                <w:rFonts w:ascii="Century Gothic" w:eastAsia="Calibri" w:hAnsi="Century Gothic" w:cs="Arial"/>
                <w:iCs/>
              </w:rPr>
            </w:pPr>
            <w:r w:rsidRPr="00D61E32">
              <w:rPr>
                <w:rFonts w:ascii="Century Gothic" w:eastAsia="Calibri" w:hAnsi="Century Gothic" w:cs="Arial"/>
                <w:iCs/>
              </w:rPr>
              <w:t xml:space="preserve">Cigna reviewed the DRGs for M/S admissions to determine the “daily” rate average for inpatient admission based on the expected length of the DRG. To unpack the DRG rate, Cigna applied this back to the length of stay that is contemplated by the respective DRGs, as they are different for every diagnosis. Once the DRG daily rate was determined, Cigna compared it to the MH/SUD reimbursement for a hospital bed day. Specifically for the comparison, Cigna utilized the most comparable lists of admission diagnoses between M/S and MH/SUD services which included the top 35 inpatient diagnosis codes. Cigna’s data warehouse cross-walked claims using logic to identify MH/SUD spend apart from M/S spend so like services would not be included in the comparison when reviewing by diagnosis.  This logic ensured a singular classification.  For example: Primary diagnosis of F329 for Behavioral may align to an Inpatient admission with a bed day per diem, and the same diagnosis for Medical may align to an ER Level 1 case rate.  Given the vast differences between M/S and MH/SUD inpatient stays and variation of diagnoses, singular classifications were omitted. Cigna’s MH/SUD network does not provide separate reimbursements for different plans, so the reimbursement diagnosis </w:t>
            </w:r>
            <w:proofErr w:type="gramStart"/>
            <w:r w:rsidRPr="00D61E32">
              <w:rPr>
                <w:rFonts w:ascii="Century Gothic" w:eastAsia="Calibri" w:hAnsi="Century Gothic" w:cs="Arial"/>
                <w:iCs/>
              </w:rPr>
              <w:t>codes</w:t>
            </w:r>
            <w:proofErr w:type="gramEnd"/>
            <w:r w:rsidRPr="00D61E32">
              <w:rPr>
                <w:rFonts w:ascii="Century Gothic" w:eastAsia="Calibri" w:hAnsi="Century Gothic" w:cs="Arial"/>
                <w:iCs/>
              </w:rPr>
              <w:t xml:space="preserve"> and average units were based on Cigna’s commercial book of business. Inpatient admissions included all of the MH/SUD IP levels of care: Inpatient Behavioral Health Level of Care, Adult, Inpatient Behavioral Health Level of Care, Child or Adolescent, Eating Disorders, Inpatient Behavioral Health Level of Care, Adult and inpatient substance use disorder treatment level of care and inpatient detox level of care </w:t>
            </w:r>
            <w:proofErr w:type="gramStart"/>
            <w:r w:rsidRPr="00D61E32">
              <w:rPr>
                <w:rFonts w:ascii="Century Gothic" w:eastAsia="Calibri" w:hAnsi="Century Gothic" w:cs="Arial"/>
                <w:iCs/>
              </w:rPr>
              <w:t>Substance Use Disorder</w:t>
            </w:r>
            <w:proofErr w:type="gramEnd"/>
            <w:r w:rsidRPr="00D61E32">
              <w:rPr>
                <w:rFonts w:ascii="Century Gothic" w:eastAsia="Calibri" w:hAnsi="Century Gothic" w:cs="Arial"/>
                <w:iCs/>
              </w:rPr>
              <w:t xml:space="preserve"> inpatient levels of care which included ASAM Level 4 and ASAM Level 3.7.  </w:t>
            </w:r>
          </w:p>
          <w:p w14:paraId="570AFDAB" w14:textId="77777777" w:rsidR="007C1A22" w:rsidRPr="00D61E32" w:rsidRDefault="007C1A22" w:rsidP="007C1A22">
            <w:pPr>
              <w:spacing w:after="240" w:line="240" w:lineRule="auto"/>
              <w:rPr>
                <w:rFonts w:ascii="Century Gothic" w:eastAsia="Calibri" w:hAnsi="Century Gothic" w:cs="Arial"/>
                <w:iCs/>
              </w:rPr>
            </w:pPr>
            <w:r w:rsidRPr="00D61E32">
              <w:rPr>
                <w:rFonts w:ascii="Century Gothic" w:eastAsia="Calibri" w:hAnsi="Century Gothic" w:cs="Arial"/>
                <w:iCs/>
              </w:rPr>
              <w:t>The facility reimbursement comparative analysis reflects that, on average, Cigna applied a 54.6% discount for MH/SUD services and 50.6% discount for M/S services resulting in a 4% spread between the two, which can be categorized as comparable and not resulting in a disparate outcome. The direct DRG/Per Diem comparison resulted in a difference of $7,133 average per day difference between M/S and MH/SUD inpatient stays, in favor of the MH/SUD per diem stay receiving higher reimbursement.</w:t>
            </w:r>
          </w:p>
          <w:p w14:paraId="5BB270BF" w14:textId="77777777" w:rsidR="007C1A22" w:rsidRPr="00D61E32" w:rsidRDefault="007C1A22" w:rsidP="007C1A22">
            <w:pPr>
              <w:spacing w:after="240" w:line="240" w:lineRule="auto"/>
              <w:rPr>
                <w:rFonts w:ascii="Century Gothic" w:eastAsia="Calibri" w:hAnsi="Century Gothic" w:cs="Arial"/>
                <w:iCs/>
              </w:rPr>
            </w:pPr>
            <w:r w:rsidRPr="00D61E32">
              <w:rPr>
                <w:rFonts w:ascii="Century Gothic" w:eastAsia="Calibri" w:hAnsi="Century Gothic" w:cs="Arial"/>
                <w:iCs/>
              </w:rPr>
              <w:t xml:space="preserve">While the comparison of two distinct methodologies is inherently challenging due to the material differences in how facility-based services are reimbursed and the DRG-Per Diem comparison evidences a difference in the MH/SUD and M/S reimbursement rates, this does not indicate a disadvantageously disparate outcome for inpatient stays. In fact, in this instance the comparison illustrates a higher average per unit and per day cost for MH/SUD per diem facilities than M/S facilities paid the DRG rate. As a general matter, due to variability in length of stay for MH/SUD benefits per diem reimbursements are more favorable for MH/SUD than are DRGs. In other words, if Cigna sought to impose DRGs on MH/SUD benefits it would likely reduce reimbursement rates because the course of treatment is relatively unpredictable for MH/SUD conditions as opposed to M/S conditions. This presupposition aligns with the fact that MH/SUD facilities have rejected DRG reimbursement. It can be assumed a lower reimbursement rate could impact accessibility to in-network providers and Cigna's network admissions criteria, itself the relevant NQTL. </w:t>
            </w:r>
            <w:proofErr w:type="gramStart"/>
            <w:r w:rsidRPr="00D61E32">
              <w:rPr>
                <w:rFonts w:ascii="Century Gothic" w:eastAsia="Calibri" w:hAnsi="Century Gothic" w:cs="Arial"/>
                <w:iCs/>
              </w:rPr>
              <w:t>However</w:t>
            </w:r>
            <w:proofErr w:type="gramEnd"/>
            <w:r w:rsidRPr="00D61E32">
              <w:rPr>
                <w:rFonts w:ascii="Century Gothic" w:eastAsia="Calibri" w:hAnsi="Century Gothic" w:cs="Arial"/>
                <w:iCs/>
              </w:rPr>
              <w:t xml:space="preserve"> the DRG-Per Diem comparison coupled with Cigna’s comparable out-of-network utilization over the recent measurement period across MH/SUD and M/S benefits and the achievement of applicable network adequacy requirements for MH/SUD and M/S providers, respectively, evidences comparability.</w:t>
            </w:r>
          </w:p>
        </w:tc>
      </w:tr>
      <w:tr w:rsidR="007C1A22" w:rsidRPr="00D61E32" w14:paraId="7022DF6D" w14:textId="77777777" w:rsidTr="004D49C2">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E19F9E7" w14:textId="77777777" w:rsidR="007C1A22" w:rsidRPr="00D61E32" w:rsidRDefault="007C1A22" w:rsidP="007C1A22">
            <w:pPr>
              <w:spacing w:after="0" w:line="240" w:lineRule="auto"/>
              <w:rPr>
                <w:rFonts w:ascii="Century Gothic" w:eastAsia="Times New Roman" w:hAnsi="Century Gothic" w:cs="Arial"/>
                <w:b/>
                <w:bCs/>
              </w:rPr>
            </w:pPr>
            <w:r w:rsidRPr="00D61E32">
              <w:rPr>
                <w:rFonts w:ascii="Century Gothic" w:eastAsia="Times New Roman" w:hAnsi="Century Gothic" w:cs="Arial"/>
                <w:b/>
                <w:bCs/>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D61E32">
              <w:rPr>
                <w:rFonts w:ascii="Century Gothic" w:eastAsia="Times New Roman" w:hAnsi="Century Gothic" w:cs="Arial"/>
                <w:b/>
                <w:bCs/>
              </w:rPr>
              <w:t>section</w:t>
            </w:r>
            <w:proofErr w:type="gramEnd"/>
          </w:p>
          <w:p w14:paraId="7594FFB6" w14:textId="77777777" w:rsidR="007C1A22" w:rsidRPr="00D61E32" w:rsidRDefault="007C1A22" w:rsidP="007C1A22">
            <w:pPr>
              <w:numPr>
                <w:ilvl w:val="0"/>
                <w:numId w:val="20"/>
              </w:numPr>
              <w:spacing w:after="0" w:line="240" w:lineRule="auto"/>
              <w:rPr>
                <w:rFonts w:ascii="Century Gothic" w:eastAsia="Times New Roman" w:hAnsi="Century Gothic" w:cs="Arial"/>
                <w:bCs/>
                <w:i/>
              </w:rPr>
            </w:pPr>
            <w:r w:rsidRPr="00D61E32">
              <w:rPr>
                <w:rFonts w:ascii="Century Gothic" w:eastAsia="Times New Roman" w:hAnsi="Century Gothic" w:cs="Arial"/>
                <w:bCs/>
                <w:i/>
              </w:rPr>
              <w:t>This discussion should include citations to any specific evidence considered and any results of analyses indicating that the plan or coverage is or is not in compliance with MHPAEA</w:t>
            </w:r>
          </w:p>
        </w:tc>
      </w:tr>
      <w:tr w:rsidR="007C1A22" w:rsidRPr="00D61E32" w14:paraId="7B75E23B" w14:textId="77777777" w:rsidTr="004D49C2">
        <w:trPr>
          <w:trHeight w:val="440"/>
        </w:trPr>
        <w:tc>
          <w:tcPr>
            <w:tcW w:w="5000" w:type="pct"/>
            <w:gridSpan w:val="2"/>
            <w:tcBorders>
              <w:top w:val="single" w:sz="4" w:space="0" w:color="auto"/>
              <w:left w:val="single" w:sz="4" w:space="0" w:color="auto"/>
              <w:bottom w:val="single" w:sz="4" w:space="0" w:color="auto"/>
              <w:right w:val="single" w:sz="4" w:space="0" w:color="auto"/>
            </w:tcBorders>
          </w:tcPr>
          <w:p w14:paraId="04E2519C"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Cigna assesses supply and demand of both M/S and MH/SUD provider types and/or specialties based upon the same indicators including NCQA and NAIC, and federal/state, network adequacy and access standards focused on distribution of provider types within geographic regions (i.e. zip codes); plan population density within geographic regions (i.e. zip codes); time and/or distance to access provider type within urban, suburban and rural areas; appointment wait times for emergent, urgent and routine visits; customer satisfaction surveys; customer complaint data. The conclusion of such assessments may result in an increase or decrease in the provider’s reimbursement rate.  </w:t>
            </w:r>
          </w:p>
          <w:p w14:paraId="2EA9C933"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Over the past several years Cigna has conducted a comprehensive review of its MH/SUD network admission standards, including network access standards, contracting processes and reimbursement rates applicable to Network Providers.  Any variances in contracting processes as well as a range of reimbursement rates based on percentages of Medicare RVUs as compared to M/S reimbursement rates were identified and analyzed for adherence to the NQTL requirement. </w:t>
            </w:r>
          </w:p>
          <w:p w14:paraId="6DFA9594"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In connection with its ongoing NQTL compliance efforts, Cigna has taken proactive, additional steps to continually ensure the comparability of standards for provider admissions into the MH/SUD provider network, including reimbursement rate methodology, to ensure the processes, strategies and evidentiary standards implemented are not more stringent for MH/SUD services than M/S services. First, Cigna has aligned contracting policies and processes and rolled out a facility reimbursement strategy shifting from reactively addressing disparate outcomes between M/S and MH/SUD reimbursement rates to proactively updating reimbursement rates for facilities for which rate increases have not been requested in the past two years. As evidence of Cigna's success in establishing rates that help ensure the acquisition and retention of providers in its MH/SUD network, the facility rate renegotiation report for January 1, 2020 through March 31, 2021 documented 487 provider renegotiations, of which 446 negotiations were completed, 11 are currently in process and 31 were discontinued due to provider’s non-responsiveness, 2 discontinued due to a Special Investigations audit, and 1 was discontinued due to the facility requesting fees for services for which they lacked a state-required license. Cigna has also reviewed more than 10,000 reimbursement rates for </w:t>
            </w:r>
            <w:proofErr w:type="gramStart"/>
            <w:r w:rsidRPr="00D61E32">
              <w:rPr>
                <w:rFonts w:ascii="Century Gothic" w:eastAsia="Times New Roman" w:hAnsi="Century Gothic" w:cs="Arial"/>
                <w:iCs/>
              </w:rPr>
              <w:t>outpatient based</w:t>
            </w:r>
            <w:proofErr w:type="gramEnd"/>
            <w:r w:rsidRPr="00D61E32">
              <w:rPr>
                <w:rFonts w:ascii="Century Gothic" w:eastAsia="Times New Roman" w:hAnsi="Century Gothic" w:cs="Arial"/>
                <w:iCs/>
              </w:rPr>
              <w:t xml:space="preserve"> fee schedules. The outpatient rate negotiation report for January 1, </w:t>
            </w:r>
            <w:proofErr w:type="gramStart"/>
            <w:r w:rsidRPr="00D61E32">
              <w:rPr>
                <w:rFonts w:ascii="Century Gothic" w:eastAsia="Times New Roman" w:hAnsi="Century Gothic" w:cs="Arial"/>
                <w:iCs/>
              </w:rPr>
              <w:t>2020</w:t>
            </w:r>
            <w:proofErr w:type="gramEnd"/>
            <w:r w:rsidRPr="00D61E32">
              <w:rPr>
                <w:rFonts w:ascii="Century Gothic" w:eastAsia="Times New Roman" w:hAnsi="Century Gothic" w:cs="Arial"/>
                <w:iCs/>
              </w:rPr>
              <w:t xml:space="preserve"> through March 31, 2021 includes a total of 10,559 rate increases with 9,497 completed and 933 were denied or incomplete due to the non-responsiveness of the provider.  </w:t>
            </w:r>
          </w:p>
          <w:p w14:paraId="33CC18D3"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Network adequacy standards for MH/SUD providers are comparable to similar M/S specialists. In most instances the behavioral network adequacy standards require a customer to travel fewer miles to see a MS/SUD specialist as compared to an M/S specialist, effectively making MH/SUD providers more accessible to customers as compared to medical specialists. Currently, for both M/S and MH/SUD providers, at least 90% of enrollees are required to have the designated access to meet Cigna’s network adequacy standard.</w:t>
            </w:r>
          </w:p>
          <w:p w14:paraId="54E30562"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In addition to rolling out reimbursement upgrades for so-called stagnant contracts (that is, facility contracts that have not requested an increase in rates within the past 5 years and have remained at the same percentage of Medicare), facility based reimbursement is transitioning from a service level approach of negotiation to a total cost of care to address both competitiveness through the use of pricing benchmarks and market based analysis. This approach aligns with the methodology and process for updating inpatient reimbursement rates for hospitals providing M/S services.  Cigna is currently creating a database including various benchmarking sources for the comparison of in-network rates against pricing benchmarks to assess affordability and to ensure the closure of any unsubstantiated gaps in reimbursement rates. Lastly, for new providers entering the network, Cigna has aligned the contracting process and has developed and implemented a standard reimbursement methodology for the negotiation of MH/SUD reimbursement rates with M/S contracting and reimbursement methodology.  Such alignment includes the implementation of standard fee schedules and the implementation of established outpatient facility and practitioner fee schedules and exceptions to standard fee schedule requests </w:t>
            </w:r>
            <w:proofErr w:type="gramStart"/>
            <w:r w:rsidRPr="00D61E32">
              <w:rPr>
                <w:rFonts w:ascii="Century Gothic" w:eastAsia="Times New Roman" w:hAnsi="Century Gothic" w:cs="Arial"/>
                <w:iCs/>
              </w:rPr>
              <w:t>in order to</w:t>
            </w:r>
            <w:proofErr w:type="gramEnd"/>
            <w:r w:rsidRPr="00D61E32">
              <w:rPr>
                <w:rFonts w:ascii="Century Gothic" w:eastAsia="Times New Roman" w:hAnsi="Century Gothic" w:cs="Arial"/>
                <w:iCs/>
              </w:rPr>
              <w:t xml:space="preserve"> contract with and retain providers essential to the integrity of the MH/SUD provider network. </w:t>
            </w:r>
          </w:p>
          <w:p w14:paraId="09D6EB06"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An analysis of Wellfleet’s in-network payments versus Medicare rates for the same provider types and CPT codes did not provide concerns regarding possible issues with disparities in payment between similar types of MH/SUD versus M/S providers. Moreover, as demonstrated by the bar graphs in Step 4, the INN reimbursement rates as a percentage of Medicare for MH/SUD providers </w:t>
            </w:r>
            <w:proofErr w:type="gramStart"/>
            <w:r w:rsidRPr="00D61E32">
              <w:rPr>
                <w:rFonts w:ascii="Century Gothic" w:eastAsia="Times New Roman" w:hAnsi="Century Gothic" w:cs="Arial"/>
                <w:iCs/>
              </w:rPr>
              <w:t>is</w:t>
            </w:r>
            <w:proofErr w:type="gramEnd"/>
            <w:r w:rsidRPr="00D61E32">
              <w:rPr>
                <w:rFonts w:ascii="Century Gothic" w:eastAsia="Times New Roman" w:hAnsi="Century Gothic" w:cs="Arial"/>
                <w:iCs/>
              </w:rPr>
              <w:t xml:space="preserve"> comparable to the OON reimbursement rates as a percentage of Medicare for M/S providers, with the exception of therapists, who are a significant outlier for specified code groups for both in-network and out-of-network reimbursement. Therefore, </w:t>
            </w:r>
            <w:r w:rsidRPr="00D61E32">
              <w:rPr>
                <w:rFonts w:ascii="Century Gothic" w:eastAsia="Times New Roman" w:hAnsi="Century Gothic" w:cs="Arial"/>
                <w:i/>
                <w:iCs/>
              </w:rPr>
              <w:t>in operation</w:t>
            </w:r>
            <w:r w:rsidRPr="00D61E32">
              <w:rPr>
                <w:rFonts w:ascii="Century Gothic" w:eastAsia="Times New Roman" w:hAnsi="Century Gothic" w:cs="Arial"/>
                <w:iCs/>
              </w:rPr>
              <w:t>, the processes, standards, factors, and sources used to apply OON reimbursement to MH/SUD services is comparable and not more stringent than the processes, standards, factors, and sources used to apply OON reimbursement to M/S services. Wellfleet concludes that it applies reimbursement either equally or less stringently for MH/SUD providers than it does for M/S providers.</w:t>
            </w:r>
          </w:p>
          <w:p w14:paraId="2E18760F" w14:textId="77777777" w:rsidR="007C1A22" w:rsidRPr="00D61E32" w:rsidRDefault="007C1A22" w:rsidP="007C1A22">
            <w:pPr>
              <w:spacing w:after="0" w:line="240" w:lineRule="auto"/>
              <w:rPr>
                <w:rFonts w:ascii="Century Gothic" w:eastAsia="Times New Roman" w:hAnsi="Century Gothic" w:cs="Arial"/>
                <w:iCs/>
              </w:rPr>
            </w:pPr>
            <w:r w:rsidRPr="00D61E32">
              <w:rPr>
                <w:rFonts w:ascii="Century Gothic" w:eastAsia="Times New Roman" w:hAnsi="Century Gothic" w:cs="Arial"/>
                <w:iCs/>
              </w:rPr>
              <w:t xml:space="preserve">Consistent with the NQTL requirement for comparability/stringency, Cigna has confirmed that standards for provider admission into the MH/SUD provider network, including credentialing, adequacy, and provider reimbursement rates for inpatient and outpatient services are comparable to, and applied no more stringently than, that of the M/S provider network as written and in operation.  Put differently, Cigna’s network </w:t>
            </w:r>
            <w:proofErr w:type="gramStart"/>
            <w:r w:rsidRPr="00D61E32">
              <w:rPr>
                <w:rFonts w:ascii="Century Gothic" w:eastAsia="Times New Roman" w:hAnsi="Century Gothic" w:cs="Arial"/>
                <w:iCs/>
              </w:rPr>
              <w:t>has the ability to</w:t>
            </w:r>
            <w:proofErr w:type="gramEnd"/>
            <w:r w:rsidRPr="00D61E32">
              <w:rPr>
                <w:rFonts w:ascii="Century Gothic" w:eastAsia="Times New Roman" w:hAnsi="Century Gothic" w:cs="Arial"/>
                <w:iCs/>
              </w:rPr>
              <w:t xml:space="preserve"> meet the MH/SUD services needs of our enrollees by providing reasonable access to a sufficient number of in-network providers for both inpatient and outpatient services.</w:t>
            </w:r>
          </w:p>
        </w:tc>
      </w:tr>
    </w:tbl>
    <w:p w14:paraId="07C505A8" w14:textId="77777777" w:rsidR="00885A6A" w:rsidRPr="00D61E32" w:rsidRDefault="00885A6A" w:rsidP="003918E2">
      <w:pPr>
        <w:rPr>
          <w:rFonts w:ascii="Century Gothic" w:hAnsi="Century Gothic" w:cs="Times New Roman"/>
          <w:b/>
          <w:u w:val="single"/>
        </w:rPr>
      </w:pPr>
    </w:p>
    <w:p w14:paraId="29A86E38" w14:textId="2075AB75" w:rsidR="00D36D15" w:rsidRPr="00D61E32" w:rsidRDefault="00D36D15" w:rsidP="00D36D15">
      <w:pPr>
        <w:pStyle w:val="ListParagraph"/>
        <w:numPr>
          <w:ilvl w:val="0"/>
          <w:numId w:val="3"/>
        </w:numPr>
        <w:spacing w:after="0" w:line="240" w:lineRule="auto"/>
        <w:rPr>
          <w:rFonts w:ascii="Century Gothic" w:hAnsi="Century Gothic" w:cs="Times New Roman"/>
          <w:b/>
          <w:u w:val="single"/>
        </w:rPr>
      </w:pPr>
      <w:r w:rsidRPr="00D61E32">
        <w:rPr>
          <w:rFonts w:ascii="Century Gothic" w:hAnsi="Century Gothic" w:cs="Times New Roman"/>
          <w:b/>
          <w:u w:val="single"/>
        </w:rPr>
        <w:t>Exclusions for Failure to Complete a Course of Treatment</w:t>
      </w:r>
    </w:p>
    <w:p w14:paraId="3D993130" w14:textId="77777777" w:rsidR="00D36D15" w:rsidRPr="00D61E32" w:rsidRDefault="00D36D15" w:rsidP="00D36D15">
      <w:pPr>
        <w:pStyle w:val="ListParagraph"/>
        <w:spacing w:after="0" w:line="240" w:lineRule="auto"/>
        <w:rPr>
          <w:rFonts w:ascii="Century Gothic" w:hAnsi="Century Gothic" w:cs="Times New Roman"/>
          <w:b/>
          <w:u w:val="single"/>
        </w:rPr>
      </w:pPr>
    </w:p>
    <w:p w14:paraId="3FA8A1A2" w14:textId="77777777" w:rsidR="00D36D15" w:rsidRPr="00D61E32" w:rsidRDefault="00D36D15" w:rsidP="00D36D15">
      <w:pPr>
        <w:pStyle w:val="ListParagraph"/>
        <w:numPr>
          <w:ilvl w:val="0"/>
          <w:numId w:val="3"/>
        </w:numPr>
        <w:spacing w:after="0" w:line="240" w:lineRule="auto"/>
        <w:rPr>
          <w:rFonts w:ascii="Century Gothic" w:hAnsi="Century Gothic" w:cs="Times New Roman"/>
          <w:b/>
          <w:u w:val="single"/>
        </w:rPr>
      </w:pPr>
      <w:r w:rsidRPr="00D61E32">
        <w:rPr>
          <w:rFonts w:ascii="Century Gothic" w:hAnsi="Century Gothic" w:cs="Times New Roman"/>
          <w:b/>
          <w:u w:val="single"/>
        </w:rPr>
        <w:t>Restrictions that Limit Duration or Scope of Benefits for Services</w:t>
      </w:r>
    </w:p>
    <w:p w14:paraId="434D9526" w14:textId="77777777" w:rsidR="00300B1E" w:rsidRPr="00D61E32" w:rsidRDefault="00300B1E" w:rsidP="00300B1E">
      <w:pPr>
        <w:spacing w:after="0" w:line="240" w:lineRule="auto"/>
        <w:ind w:left="360"/>
        <w:rPr>
          <w:rFonts w:ascii="Century Gothic" w:hAnsi="Century Gothic" w:cs="Times New Roman"/>
          <w:b/>
          <w:u w:val="single"/>
        </w:rPr>
      </w:pPr>
    </w:p>
    <w:p w14:paraId="60DEB9AA" w14:textId="77777777" w:rsidR="00D36D15" w:rsidRPr="00D61E32" w:rsidRDefault="00D36D15" w:rsidP="00D36D15">
      <w:pPr>
        <w:pStyle w:val="ListParagraph"/>
        <w:numPr>
          <w:ilvl w:val="0"/>
          <w:numId w:val="3"/>
        </w:numPr>
        <w:spacing w:after="0" w:line="240" w:lineRule="auto"/>
        <w:rPr>
          <w:rFonts w:ascii="Century Gothic" w:hAnsi="Century Gothic" w:cs="Times New Roman"/>
          <w:b/>
          <w:u w:val="single"/>
        </w:rPr>
      </w:pPr>
      <w:r w:rsidRPr="00D61E32">
        <w:rPr>
          <w:rFonts w:ascii="Century Gothic" w:hAnsi="Century Gothic" w:cs="Times New Roman"/>
          <w:b/>
          <w:u w:val="single"/>
        </w:rPr>
        <w:t>Restrictions for Provider Specialty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2C1B07" w:rsidRPr="002C1B07" w14:paraId="53728349" w14:textId="77777777" w:rsidTr="002C1B07">
        <w:trPr>
          <w:trHeight w:val="685"/>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0838AA"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 xml:space="preserve">NQTL Type: Network Admissions (Network Adequacy, Credentialing and Provider Reimbursement) – Cigna Administered Plans </w:t>
            </w:r>
          </w:p>
        </w:tc>
      </w:tr>
      <w:tr w:rsidR="002C1B07" w:rsidRPr="002C1B07" w14:paraId="47B9B3D3" w14:textId="77777777" w:rsidTr="002C1B07">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2363D4"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 xml:space="preserve">Classification(s): Inpatient and Outpatient (In-network) </w:t>
            </w:r>
          </w:p>
        </w:tc>
      </w:tr>
      <w:tr w:rsidR="002C1B07" w:rsidRPr="002C1B07" w14:paraId="2A7BE6B3" w14:textId="77777777" w:rsidTr="002C1B07">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B38F6"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 xml:space="preserve">Step 1 – Identify the specific plan or coverage terms or other relevant terms regarding the NQTL and a description of all mental health or substance use disorder and medical or surgical benefits to which each such term applies in each respective </w:t>
            </w:r>
            <w:proofErr w:type="gramStart"/>
            <w:r w:rsidRPr="002C1B07">
              <w:rPr>
                <w:rFonts w:ascii="Century Gothic" w:hAnsi="Century Gothic" w:cs="Times New Roman"/>
                <w:b/>
                <w:bCs/>
              </w:rPr>
              <w:t>benefits</w:t>
            </w:r>
            <w:proofErr w:type="gramEnd"/>
            <w:r w:rsidRPr="002C1B07">
              <w:rPr>
                <w:rFonts w:ascii="Century Gothic" w:hAnsi="Century Gothic" w:cs="Times New Roman"/>
                <w:b/>
                <w:bCs/>
              </w:rPr>
              <w:t xml:space="preserve"> classification</w:t>
            </w:r>
          </w:p>
          <w:p w14:paraId="16E4FBE1" w14:textId="77777777" w:rsidR="002C1B07" w:rsidRPr="002C1B07" w:rsidRDefault="002C1B07" w:rsidP="002C1B07">
            <w:pPr>
              <w:numPr>
                <w:ilvl w:val="0"/>
                <w:numId w:val="45"/>
              </w:numPr>
              <w:rPr>
                <w:rFonts w:ascii="Century Gothic" w:hAnsi="Century Gothic" w:cs="Times New Roman"/>
                <w:b/>
                <w:bCs/>
              </w:rPr>
            </w:pPr>
            <w:r w:rsidRPr="002C1B07">
              <w:rPr>
                <w:rFonts w:ascii="Century Gothic" w:hAnsi="Century Gothic" w:cs="Times New Roman"/>
                <w:bCs/>
                <w:i/>
              </w:rPr>
              <w:t xml:space="preserve">Provide a clear description of the specific NQTL, plan terms, and policies at </w:t>
            </w:r>
            <w:proofErr w:type="gramStart"/>
            <w:r w:rsidRPr="002C1B07">
              <w:rPr>
                <w:rFonts w:ascii="Century Gothic" w:hAnsi="Century Gothic" w:cs="Times New Roman"/>
                <w:bCs/>
                <w:i/>
              </w:rPr>
              <w:t>issue</w:t>
            </w:r>
            <w:proofErr w:type="gramEnd"/>
          </w:p>
          <w:p w14:paraId="699F974A" w14:textId="77777777" w:rsidR="002C1B07" w:rsidRPr="002C1B07" w:rsidRDefault="002C1B07" w:rsidP="002C1B07">
            <w:pPr>
              <w:numPr>
                <w:ilvl w:val="0"/>
                <w:numId w:val="45"/>
              </w:numPr>
              <w:rPr>
                <w:rFonts w:ascii="Century Gothic" w:hAnsi="Century Gothic" w:cs="Times New Roman"/>
                <w:b/>
                <w:bCs/>
              </w:rPr>
            </w:pPr>
            <w:r w:rsidRPr="002C1B07">
              <w:rPr>
                <w:rFonts w:ascii="Century Gothic" w:hAnsi="Century Gothic" w:cs="Times New Roman"/>
                <w:bCs/>
                <w:i/>
              </w:rPr>
              <w:t>Identify which M/S and MH/SUD benefits are subject to the NQTL</w:t>
            </w:r>
          </w:p>
        </w:tc>
      </w:tr>
      <w:tr w:rsidR="002C1B07" w:rsidRPr="002C1B07" w14:paraId="63365F97" w14:textId="77777777" w:rsidTr="002C1B07">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6E4E1B52" w14:textId="77777777" w:rsidR="002C1B07" w:rsidRPr="002C1B07" w:rsidRDefault="002C1B07" w:rsidP="002C1B07">
            <w:pPr>
              <w:rPr>
                <w:rFonts w:ascii="Century Gothic" w:hAnsi="Century Gothic" w:cs="Times New Roman"/>
                <w:bCs/>
              </w:rPr>
            </w:pPr>
            <w:r w:rsidRPr="002C1B07">
              <w:rPr>
                <w:rFonts w:ascii="Century Gothic" w:hAnsi="Century Gothic" w:cs="Times New Roman"/>
                <w:b/>
                <w:bCs/>
                <w:i/>
              </w:rPr>
              <w:t>Step 1(a): Provide a clear description of the specific NQTL, plan terms, and policies at issue</w:t>
            </w:r>
            <w:r w:rsidRPr="002C1B07">
              <w:rPr>
                <w:rFonts w:ascii="Century Gothic" w:hAnsi="Century Gothic" w:cs="Times New Roman"/>
                <w:bCs/>
              </w:rPr>
              <w:t xml:space="preserve">: </w:t>
            </w:r>
          </w:p>
          <w:p w14:paraId="1A8C8749" w14:textId="77777777" w:rsidR="002C1B07" w:rsidRPr="002C1B07" w:rsidRDefault="002C1B07" w:rsidP="002C1B07">
            <w:pPr>
              <w:rPr>
                <w:rFonts w:ascii="Century Gothic" w:hAnsi="Century Gothic" w:cs="Times New Roman"/>
              </w:rPr>
            </w:pPr>
            <w:r w:rsidRPr="002C1B07">
              <w:rPr>
                <w:rFonts w:ascii="Century Gothic" w:hAnsi="Century Gothic" w:cs="Times New Roman"/>
              </w:rPr>
              <w:t>Network Admissions is considered a non-quantitative treatment limitation (“NQTL”) under the Mental Health Parity and Addiction Equity Act of 2008 (“MHPAEA”) and its implementing regulations and sub-regulatory guidance. Network Admissions includes network adequacy, provider credentialing, and provider reimbursement methodologies.</w:t>
            </w:r>
          </w:p>
          <w:p w14:paraId="4A65EB7C" w14:textId="77777777" w:rsidR="002C1B07" w:rsidRPr="002C1B07" w:rsidRDefault="002C1B07" w:rsidP="002C1B07">
            <w:pPr>
              <w:rPr>
                <w:rFonts w:ascii="Century Gothic" w:hAnsi="Century Gothic" w:cs="Times New Roman"/>
                <w:b/>
                <w:bCs/>
                <w:iCs/>
              </w:rPr>
            </w:pPr>
            <w:r w:rsidRPr="002C1B07">
              <w:rPr>
                <w:rFonts w:ascii="Century Gothic" w:hAnsi="Century Gothic" w:cs="Times New Roman"/>
              </w:rPr>
              <w:t xml:space="preserve">This document represents an NQTL comparative analysis for Network Admissions applied to mental health and/or substance use disorder (“MH/SUD”) services, and/or providers of such services, and to medical/ surgical (“M/S”) services and/or providers of such services, for inpatient and outpatient benefit classifications and is incorporated into plans insured by Cigna Health and Life Insurance Company (“CHLIC”).  </w:t>
            </w:r>
          </w:p>
          <w:p w14:paraId="1C21FE45" w14:textId="77777777" w:rsidR="002C1B07" w:rsidRPr="002C1B07" w:rsidRDefault="002C1B07" w:rsidP="002C1B07">
            <w:pPr>
              <w:rPr>
                <w:rFonts w:ascii="Century Gothic" w:hAnsi="Century Gothic" w:cs="Times New Roman"/>
                <w:b/>
                <w:bCs/>
                <w:iCs/>
              </w:rPr>
            </w:pPr>
            <w:proofErr w:type="spellStart"/>
            <w:r w:rsidRPr="002C1B07">
              <w:rPr>
                <w:rFonts w:ascii="Century Gothic" w:hAnsi="Century Gothic" w:cs="Times New Roman"/>
              </w:rPr>
              <w:t>Evernorth</w:t>
            </w:r>
            <w:proofErr w:type="spellEnd"/>
            <w:r w:rsidRPr="002C1B07">
              <w:rPr>
                <w:rFonts w:ascii="Century Gothic" w:hAnsi="Century Gothic" w:cs="Times New Roman"/>
              </w:rPr>
              <w:t xml:space="preserve"> Behavioral Health (“</w:t>
            </w:r>
            <w:proofErr w:type="spellStart"/>
            <w:r w:rsidRPr="002C1B07">
              <w:rPr>
                <w:rFonts w:ascii="Century Gothic" w:hAnsi="Century Gothic" w:cs="Times New Roman"/>
              </w:rPr>
              <w:t>Evernorth</w:t>
            </w:r>
            <w:proofErr w:type="spellEnd"/>
            <w:r w:rsidRPr="002C1B07">
              <w:rPr>
                <w:rFonts w:ascii="Century Gothic" w:hAnsi="Century Gothic" w:cs="Times New Roman"/>
              </w:rPr>
              <w:t xml:space="preserve">” or “EBH,” formerly Cigna Behavioral Health), an affiliate of Cigna Health and Life Insurance Company (“CHLIC”), performs all aspects of provider network admissions including Network Adequacy, Contracting, Credentialing and Reimbursement for the MH/SUD Network, while CHLIC performs all aspects of provider network admissions including Network Adequacy, Contracting, Credentialing and Reimbursement for the M/S Network. References to “Cigna” contained herein include </w:t>
            </w:r>
            <w:proofErr w:type="spellStart"/>
            <w:r w:rsidRPr="002C1B07">
              <w:rPr>
                <w:rFonts w:ascii="Century Gothic" w:hAnsi="Century Gothic" w:cs="Times New Roman"/>
              </w:rPr>
              <w:t>Evernorth</w:t>
            </w:r>
            <w:proofErr w:type="spellEnd"/>
            <w:r w:rsidRPr="002C1B07">
              <w:rPr>
                <w:rFonts w:ascii="Century Gothic" w:hAnsi="Century Gothic" w:cs="Times New Roman"/>
              </w:rPr>
              <w:t xml:space="preserve"> Behavioral Health unless otherwise noted separately.  </w:t>
            </w:r>
          </w:p>
          <w:p w14:paraId="1265F150"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Among the NQTLs applied to MH/SUD and M/S benefits, and for which comparative analyses have been performed, Cigna has assessed several components of its standards for a provider and/or facility (collectively “Network Providers”) admission to participate in a network for NQTL compliance, including network adequacy, </w:t>
            </w:r>
            <w:proofErr w:type="gramStart"/>
            <w:r w:rsidRPr="002C1B07">
              <w:rPr>
                <w:rFonts w:ascii="Century Gothic" w:hAnsi="Century Gothic" w:cs="Times New Roman"/>
              </w:rPr>
              <w:t>credentialing</w:t>
            </w:r>
            <w:proofErr w:type="gramEnd"/>
            <w:r w:rsidRPr="002C1B07">
              <w:rPr>
                <w:rFonts w:ascii="Century Gothic" w:hAnsi="Century Gothic" w:cs="Times New Roman"/>
              </w:rPr>
              <w:t xml:space="preserve"> and the methodology for determining Network Provider reimbursement rates for inpatient and outpatient services. Cigna does not include specific plan language regarding Network Provider credentialing or Network Provider reimbursement. Wellfleet Claims Data Reimbursement analyzes Provider Specialty Reimbursement vs Medicare rates. </w:t>
            </w:r>
          </w:p>
          <w:p w14:paraId="6BE74BD9" w14:textId="77777777" w:rsidR="002C1B07" w:rsidRPr="002C1B07" w:rsidRDefault="002C1B07" w:rsidP="002C1B07">
            <w:pPr>
              <w:rPr>
                <w:rFonts w:ascii="Century Gothic" w:hAnsi="Century Gothic" w:cs="Times New Roman"/>
              </w:rPr>
            </w:pPr>
            <w:r w:rsidRPr="002C1B07">
              <w:rPr>
                <w:rFonts w:ascii="Century Gothic" w:hAnsi="Century Gothic" w:cs="Times New Roman"/>
              </w:rPr>
              <w:t>The plan language addressing the Cigna Network, including provider directory is excerpted from representative language incorporated by many plan sponsors into their employee welfare benefit plans, and states as follows.  For the purposes of clarity, this analysis excerpts one example of the governing benefit language for brevity.</w:t>
            </w:r>
          </w:p>
          <w:p w14:paraId="2951C16B" w14:textId="77777777" w:rsidR="002C1B07" w:rsidRPr="002C1B07" w:rsidRDefault="002C1B07" w:rsidP="002C1B07">
            <w:pPr>
              <w:rPr>
                <w:rFonts w:ascii="Century Gothic" w:hAnsi="Century Gothic" w:cs="Times New Roman"/>
              </w:rPr>
            </w:pPr>
            <w:r w:rsidRPr="002C1B07">
              <w:rPr>
                <w:rFonts w:ascii="Century Gothic" w:hAnsi="Century Gothic" w:cs="Times New Roman"/>
                <w:b/>
                <w:bCs/>
              </w:rPr>
              <w:t xml:space="preserve">Notice Regarding Provider Directories and Provider Networks </w:t>
            </w:r>
          </w:p>
          <w:p w14:paraId="79058118" w14:textId="0FAFBC7D" w:rsidR="002C1B07" w:rsidRPr="002C1B07" w:rsidRDefault="002C1B07" w:rsidP="002C1B07">
            <w:pPr>
              <w:rPr>
                <w:rFonts w:ascii="Century Gothic" w:hAnsi="Century Gothic" w:cs="Times New Roman"/>
              </w:rPr>
            </w:pPr>
            <w:r w:rsidRPr="002C1B07">
              <w:rPr>
                <w:rFonts w:ascii="Century Gothic" w:hAnsi="Century Gothic" w:cs="Times New Roman"/>
              </w:rPr>
              <w:t>A list of network providers is available to you without charge by visiting the website or by calling the phone number on your ID card. The network consists of providers, including hospitals, of varied specialties as well as general practice, affiliated or contracted with Cigna or an organization contracting on its behalf.</w:t>
            </w:r>
          </w:p>
        </w:tc>
      </w:tr>
      <w:tr w:rsidR="002C1B07" w:rsidRPr="002C1B07" w14:paraId="6865472B" w14:textId="77777777" w:rsidTr="002C1B07">
        <w:trPr>
          <w:trHeight w:val="70"/>
        </w:trPr>
        <w:tc>
          <w:tcPr>
            <w:tcW w:w="2476" w:type="pct"/>
            <w:tcBorders>
              <w:top w:val="single" w:sz="4" w:space="0" w:color="auto"/>
              <w:left w:val="single" w:sz="4" w:space="0" w:color="auto"/>
              <w:bottom w:val="single" w:sz="4" w:space="0" w:color="auto"/>
              <w:right w:val="single" w:sz="4" w:space="0" w:color="auto"/>
            </w:tcBorders>
          </w:tcPr>
          <w:p w14:paraId="29C5FBA0" w14:textId="63DEB231" w:rsidR="002C1B07" w:rsidRPr="002C1B07" w:rsidRDefault="002C1B07" w:rsidP="002C1B07">
            <w:pPr>
              <w:rPr>
                <w:rFonts w:ascii="Century Gothic" w:hAnsi="Century Gothic" w:cs="Times New Roman"/>
              </w:rPr>
            </w:pPr>
            <w:r w:rsidRPr="002C1B07">
              <w:rPr>
                <w:rFonts w:ascii="Century Gothic" w:hAnsi="Century Gothic" w:cs="Times New Roman"/>
                <w:b/>
                <w:i/>
              </w:rPr>
              <w:t>Step 1(b): Identify the M/S benefits/services for which the NQTL is required</w:t>
            </w:r>
            <w:r w:rsidRPr="002C1B07">
              <w:rPr>
                <w:rFonts w:ascii="Century Gothic" w:hAnsi="Century Gothic" w:cs="Times New Roman"/>
              </w:rPr>
              <w:t>:</w:t>
            </w:r>
          </w:p>
          <w:p w14:paraId="075F65BE" w14:textId="1623E4CA" w:rsidR="002C1B07" w:rsidRPr="002C1B07" w:rsidRDefault="002C1B07" w:rsidP="002C1B07">
            <w:pPr>
              <w:rPr>
                <w:rFonts w:ascii="Century Gothic" w:hAnsi="Century Gothic" w:cs="Times New Roman"/>
              </w:rPr>
            </w:pPr>
            <w:r w:rsidRPr="002C1B07">
              <w:rPr>
                <w:rFonts w:ascii="Century Gothic" w:hAnsi="Century Gothic" w:cs="Times New Roman"/>
              </w:rPr>
              <w:t>All benefits and services are available from the provider network, which is developed through the Network Access strategy.</w:t>
            </w:r>
          </w:p>
        </w:tc>
        <w:tc>
          <w:tcPr>
            <w:tcW w:w="2524" w:type="pct"/>
            <w:tcBorders>
              <w:top w:val="single" w:sz="4" w:space="0" w:color="auto"/>
              <w:left w:val="single" w:sz="4" w:space="0" w:color="auto"/>
              <w:bottom w:val="single" w:sz="4" w:space="0" w:color="auto"/>
              <w:right w:val="single" w:sz="4" w:space="0" w:color="auto"/>
            </w:tcBorders>
          </w:tcPr>
          <w:p w14:paraId="28A122D6" w14:textId="7166F723" w:rsidR="002C1B07" w:rsidRPr="002C1B07" w:rsidRDefault="002C1B07" w:rsidP="002C1B07">
            <w:pPr>
              <w:rPr>
                <w:rFonts w:ascii="Century Gothic" w:hAnsi="Century Gothic" w:cs="Times New Roman"/>
              </w:rPr>
            </w:pPr>
            <w:r w:rsidRPr="002C1B07">
              <w:rPr>
                <w:rFonts w:ascii="Century Gothic" w:hAnsi="Century Gothic" w:cs="Times New Roman"/>
                <w:b/>
                <w:i/>
              </w:rPr>
              <w:t>Step 1(b): Identify the MH/SUD benefits/services for which the NQTL is required</w:t>
            </w:r>
            <w:r w:rsidRPr="002C1B07">
              <w:rPr>
                <w:rFonts w:ascii="Century Gothic" w:hAnsi="Century Gothic" w:cs="Times New Roman"/>
              </w:rPr>
              <w:t>:</w:t>
            </w:r>
          </w:p>
          <w:p w14:paraId="48C23B17" w14:textId="77777777" w:rsidR="002C1B07" w:rsidRPr="002C1B07" w:rsidRDefault="002C1B07" w:rsidP="002C1B07">
            <w:pPr>
              <w:rPr>
                <w:rFonts w:ascii="Century Gothic" w:hAnsi="Century Gothic" w:cs="Times New Roman"/>
              </w:rPr>
            </w:pPr>
            <w:r w:rsidRPr="002C1B07">
              <w:rPr>
                <w:rFonts w:ascii="Century Gothic" w:hAnsi="Century Gothic" w:cs="Times New Roman"/>
              </w:rPr>
              <w:t>Same as M/S</w:t>
            </w:r>
          </w:p>
          <w:p w14:paraId="5E61C8E8" w14:textId="77777777" w:rsidR="002C1B07" w:rsidRPr="002C1B07" w:rsidRDefault="002C1B07" w:rsidP="002C1B07">
            <w:pPr>
              <w:rPr>
                <w:rFonts w:ascii="Century Gothic" w:hAnsi="Century Gothic" w:cs="Times New Roman"/>
                <w:b/>
                <w:i/>
              </w:rPr>
            </w:pPr>
          </w:p>
        </w:tc>
      </w:tr>
      <w:tr w:rsidR="002C1B07" w:rsidRPr="002C1B07" w14:paraId="6CA9350B" w14:textId="77777777" w:rsidTr="002C1B07">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848B0"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Step 2 – Identify the factors used to determine that the NQTL will apply to mental health or substance use disorder benefits and medical or surgical benefits</w:t>
            </w:r>
          </w:p>
        </w:tc>
      </w:tr>
      <w:tr w:rsidR="002C1B07" w:rsidRPr="002C1B07" w14:paraId="03F0734F" w14:textId="77777777" w:rsidTr="002C1B07">
        <w:trPr>
          <w:trHeight w:val="314"/>
        </w:trPr>
        <w:tc>
          <w:tcPr>
            <w:tcW w:w="247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64CE2C" w14:textId="77777777" w:rsidR="002C1B07" w:rsidRPr="002C1B07" w:rsidRDefault="002C1B07" w:rsidP="002C1B07">
            <w:pPr>
              <w:rPr>
                <w:rFonts w:ascii="Century Gothic" w:hAnsi="Century Gothic" w:cs="Times New Roman"/>
                <w:u w:val="single"/>
              </w:rPr>
            </w:pPr>
            <w:r w:rsidRPr="002C1B07">
              <w:rPr>
                <w:rFonts w:ascii="Century Gothic" w:hAnsi="Century Gothic" w:cs="Times New Roman"/>
                <w:b/>
                <w:u w:val="single"/>
              </w:rPr>
              <w:t>Medical/Surgical</w:t>
            </w:r>
            <w:r w:rsidRPr="002C1B07">
              <w:rPr>
                <w:rFonts w:ascii="Century Gothic" w:hAnsi="Century Gothic" w:cs="Times New Roman"/>
                <w:u w:val="single"/>
              </w:rPr>
              <w:t>:</w:t>
            </w:r>
          </w:p>
        </w:tc>
        <w:tc>
          <w:tcPr>
            <w:tcW w:w="252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0464C78" w14:textId="77777777" w:rsidR="002C1B07" w:rsidRPr="002C1B07" w:rsidRDefault="002C1B07" w:rsidP="002C1B07">
            <w:pPr>
              <w:rPr>
                <w:rFonts w:ascii="Century Gothic" w:hAnsi="Century Gothic" w:cs="Times New Roman"/>
                <w:u w:val="single"/>
              </w:rPr>
            </w:pPr>
            <w:r w:rsidRPr="002C1B07">
              <w:rPr>
                <w:rFonts w:ascii="Century Gothic" w:hAnsi="Century Gothic" w:cs="Times New Roman"/>
                <w:b/>
                <w:u w:val="single"/>
              </w:rPr>
              <w:t>MH/SUD</w:t>
            </w:r>
            <w:r w:rsidRPr="002C1B07">
              <w:rPr>
                <w:rFonts w:ascii="Century Gothic" w:hAnsi="Century Gothic" w:cs="Times New Roman"/>
                <w:u w:val="single"/>
              </w:rPr>
              <w:t>:</w:t>
            </w:r>
          </w:p>
        </w:tc>
      </w:tr>
      <w:tr w:rsidR="002C1B07" w:rsidRPr="002C1B07" w14:paraId="67C4475C" w14:textId="77777777" w:rsidTr="002C1B07">
        <w:trPr>
          <w:trHeight w:val="1430"/>
        </w:trPr>
        <w:tc>
          <w:tcPr>
            <w:tcW w:w="2476" w:type="pct"/>
            <w:tcBorders>
              <w:top w:val="single" w:sz="4" w:space="0" w:color="auto"/>
              <w:left w:val="single" w:sz="4" w:space="0" w:color="auto"/>
              <w:bottom w:val="single" w:sz="4" w:space="0" w:color="auto"/>
              <w:right w:val="single" w:sz="4" w:space="0" w:color="auto"/>
            </w:tcBorders>
          </w:tcPr>
          <w:p w14:paraId="030DE74C" w14:textId="77777777" w:rsidR="002C1B07" w:rsidRPr="002C1B07" w:rsidRDefault="002C1B07" w:rsidP="002C1B07">
            <w:pPr>
              <w:rPr>
                <w:rFonts w:ascii="Century Gothic" w:hAnsi="Century Gothic" w:cs="Times New Roman"/>
                <w:i/>
              </w:rPr>
            </w:pPr>
            <w:r w:rsidRPr="002C1B07">
              <w:rPr>
                <w:rFonts w:ascii="Century Gothic" w:hAnsi="Century Gothic" w:cs="Times New Roman"/>
                <w:i/>
              </w:rPr>
              <w:t xml:space="preserve">Note: although this prompt asks for the “factors used to determine that the NQTL will apply,” because this NQTL applies to 100% of benefits in all classifications, this response reflects the factors used in the design of how this NQTL applies to providers of M/S services as compares to providers of MH/SUD services.  This is a more meaningful framing for a comparability and stringency analysis for this NQTL type.  </w:t>
            </w:r>
          </w:p>
          <w:p w14:paraId="08599B8D"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When a medical or behavioral provider requests participation in the Cigna network(s) or when Cigna identifies a provider to recruit into its network(s), the provider is presented with a contract proposal which describes the details of the entire agreement such as obligations of the physician, obligations of Cigna, term of the contract, reimbursement, and applicable state supplemental requirements. </w:t>
            </w:r>
          </w:p>
          <w:p w14:paraId="70B11C6D"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Cigna will respond within 20 days of provider inquiry to join the Cigna network.  The provider either accepts the proposed contract or may request negotiated changes to Cigna’s standard provider template and standard reimbursement rates.  Revisions to the standard Provider contract terms and reimbursement rates are analyzed and negotiated by either a Recruiter or Contract Negotiator, with oversight from a Contracting Director. </w:t>
            </w:r>
          </w:p>
          <w:p w14:paraId="71239C18"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Cigna maintains an open network and will contract with any MH/SUD or M/S provider or facility. Cigna does not limit parties with whom it will contract and negotiate rates. The Behavioral Health medical cost budget and M/S cost budgets are established using the same methodology including budgetary considerations for known contractual commitments as well as renegotiation of existing contracts. Additionally new negotiations are reviewed </w:t>
            </w:r>
            <w:proofErr w:type="gramStart"/>
            <w:r w:rsidRPr="002C1B07">
              <w:rPr>
                <w:rFonts w:ascii="Century Gothic" w:hAnsi="Century Gothic" w:cs="Times New Roman"/>
                <w:iCs/>
              </w:rPr>
              <w:t>in order to</w:t>
            </w:r>
            <w:proofErr w:type="gramEnd"/>
            <w:r w:rsidRPr="002C1B07">
              <w:rPr>
                <w:rFonts w:ascii="Century Gothic" w:hAnsi="Century Gothic" w:cs="Times New Roman"/>
                <w:iCs/>
              </w:rPr>
              <w:t xml:space="preserve"> set budget metrics. Cigna does negotiate rates with parties that represent groups or sets of providers. There is no difference in how this process is handled for MH/SUD vs. M/S providers or representatives. When applicable, Cigna uses the same Consultant Agreement for both MH/SUD and M/S. </w:t>
            </w:r>
          </w:p>
          <w:p w14:paraId="12C86C13" w14:textId="7A0CE296"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For parties representing groups or sets of providers, Cigna requires each authorized representative to complete and sign a questionnaire and confidentiality agreement </w:t>
            </w:r>
            <w:proofErr w:type="gramStart"/>
            <w:r w:rsidRPr="002C1B07">
              <w:rPr>
                <w:rFonts w:ascii="Century Gothic" w:hAnsi="Century Gothic" w:cs="Times New Roman"/>
                <w:iCs/>
              </w:rPr>
              <w:t>in order to</w:t>
            </w:r>
            <w:proofErr w:type="gramEnd"/>
            <w:r w:rsidRPr="002C1B07">
              <w:rPr>
                <w:rFonts w:ascii="Century Gothic" w:hAnsi="Century Gothic" w:cs="Times New Roman"/>
                <w:iCs/>
              </w:rPr>
              <w:t xml:space="preserve"> participate in contract discussions, contract disputes and/or payment disputes.   Based on the questionnaire, answers to these questions will be reviewed by Cigna for a determination of Cigna’s willingness to proceed with this representative.  This process is followed for both M/S and MH/SUD providers.</w:t>
            </w:r>
          </w:p>
        </w:tc>
        <w:tc>
          <w:tcPr>
            <w:tcW w:w="2524" w:type="pct"/>
            <w:tcBorders>
              <w:top w:val="single" w:sz="4" w:space="0" w:color="auto"/>
              <w:left w:val="single" w:sz="4" w:space="0" w:color="auto"/>
              <w:bottom w:val="single" w:sz="4" w:space="0" w:color="auto"/>
              <w:right w:val="single" w:sz="4" w:space="0" w:color="auto"/>
            </w:tcBorders>
          </w:tcPr>
          <w:p w14:paraId="0CB87F59" w14:textId="77777777" w:rsidR="002C1B07" w:rsidRPr="002C1B07" w:rsidRDefault="002C1B07" w:rsidP="002C1B07">
            <w:pPr>
              <w:rPr>
                <w:rFonts w:ascii="Century Gothic" w:hAnsi="Century Gothic" w:cs="Times New Roman"/>
                <w:b/>
                <w:bCs/>
                <w:iCs/>
              </w:rPr>
            </w:pPr>
            <w:r w:rsidRPr="002C1B07">
              <w:rPr>
                <w:rFonts w:ascii="Century Gothic" w:hAnsi="Century Gothic" w:cs="Times New Roman"/>
                <w:iCs/>
              </w:rPr>
              <w:t xml:space="preserve">Same as M/S </w:t>
            </w:r>
          </w:p>
          <w:p w14:paraId="1CFA3DF8" w14:textId="77777777" w:rsidR="002C1B07" w:rsidRPr="002C1B07" w:rsidRDefault="002C1B07" w:rsidP="002C1B07">
            <w:pPr>
              <w:rPr>
                <w:rFonts w:ascii="Century Gothic" w:hAnsi="Century Gothic" w:cs="Times New Roman"/>
                <w:iCs/>
              </w:rPr>
            </w:pPr>
          </w:p>
          <w:p w14:paraId="47281541" w14:textId="77777777" w:rsidR="002C1B07" w:rsidRPr="002C1B07" w:rsidRDefault="002C1B07" w:rsidP="002C1B07">
            <w:pPr>
              <w:rPr>
                <w:rFonts w:ascii="Century Gothic" w:hAnsi="Century Gothic" w:cs="Times New Roman"/>
                <w:b/>
                <w:bCs/>
                <w:iCs/>
              </w:rPr>
            </w:pPr>
          </w:p>
        </w:tc>
      </w:tr>
      <w:tr w:rsidR="002C1B07" w:rsidRPr="002C1B07" w14:paraId="750DDFE9" w14:textId="77777777" w:rsidTr="002C1B07">
        <w:trPr>
          <w:trHeight w:val="1430"/>
        </w:trPr>
        <w:tc>
          <w:tcPr>
            <w:tcW w:w="2476" w:type="pct"/>
            <w:tcBorders>
              <w:top w:val="single" w:sz="4" w:space="0" w:color="auto"/>
              <w:left w:val="single" w:sz="4" w:space="0" w:color="auto"/>
              <w:bottom w:val="single" w:sz="4" w:space="0" w:color="auto"/>
              <w:right w:val="single" w:sz="4" w:space="0" w:color="auto"/>
            </w:tcBorders>
          </w:tcPr>
          <w:p w14:paraId="47DAD432" w14:textId="5B5D8016" w:rsidR="002C1B07" w:rsidRPr="002C1B07" w:rsidRDefault="002C1B07" w:rsidP="002C1B07">
            <w:pPr>
              <w:rPr>
                <w:rFonts w:ascii="Century Gothic" w:hAnsi="Century Gothic" w:cs="Times New Roman"/>
                <w:b/>
                <w:bCs/>
                <w:iCs/>
              </w:rPr>
            </w:pPr>
            <w:r w:rsidRPr="002C1B07">
              <w:rPr>
                <w:rFonts w:ascii="Century Gothic" w:hAnsi="Century Gothic" w:cs="Times New Roman"/>
                <w:b/>
                <w:bCs/>
                <w:iCs/>
              </w:rPr>
              <w:t>Network Adequacy and Credentialing:</w:t>
            </w:r>
          </w:p>
          <w:p w14:paraId="19C47BD5" w14:textId="1E3FF6B4" w:rsidR="002C1B07" w:rsidRPr="002C1B07" w:rsidRDefault="002C1B07" w:rsidP="002C1B07">
            <w:pPr>
              <w:rPr>
                <w:rFonts w:ascii="Century Gothic" w:hAnsi="Century Gothic" w:cs="Times New Roman"/>
              </w:rPr>
            </w:pPr>
            <w:r w:rsidRPr="002C1B07">
              <w:rPr>
                <w:rFonts w:ascii="Century Gothic" w:hAnsi="Century Gothic" w:cs="Times New Roman"/>
              </w:rPr>
              <w:t xml:space="preserve">Cigna maintains an open network for both M/S and MH/SUD Network Providers, such that new providers looking to contract with Cigna will be admitted if they meet Cigna's Network Provider admission criteria (“Credentialing Criteria”).  </w:t>
            </w:r>
            <w:proofErr w:type="spellStart"/>
            <w:r w:rsidRPr="002C1B07">
              <w:rPr>
                <w:rFonts w:ascii="Century Gothic" w:hAnsi="Century Gothic" w:cs="Times New Roman"/>
              </w:rPr>
              <w:t>Evernorth</w:t>
            </w:r>
            <w:proofErr w:type="spellEnd"/>
            <w:r w:rsidRPr="002C1B07">
              <w:rPr>
                <w:rFonts w:ascii="Century Gothic" w:hAnsi="Century Gothic" w:cs="Times New Roman"/>
              </w:rPr>
              <w:t xml:space="preserve"> maintains NCQA Managed Behavioral Healthcare Organization (“MBHO”) Accreditation and conducts an annual directory audit which includes a valid random sample to ensure the network and directory meet all NCQA MBHO accreditation requirements.  MBHO Accreditation includes standards for Behavioral Health Care, Credentialing/Re-credentialing, Provider Accessibility and Availability Monitoring, and Provider Contracting and Satisfaction. Cigna conducts quality management activities for both medical and behavioral healthcare products. Additionally, NCQA performs an audit of a random sample of denials, appeals, case management, and credentialing cases (approximately 350 records). </w:t>
            </w:r>
          </w:p>
          <w:p w14:paraId="2D402A50" w14:textId="16E80B52" w:rsidR="002C1B07" w:rsidRPr="002C1B07" w:rsidRDefault="002C1B07" w:rsidP="002C1B07">
            <w:pPr>
              <w:rPr>
                <w:rFonts w:ascii="Century Gothic" w:hAnsi="Century Gothic" w:cs="Times New Roman"/>
              </w:rPr>
            </w:pPr>
            <w:r w:rsidRPr="002C1B07">
              <w:rPr>
                <w:rFonts w:ascii="Century Gothic" w:hAnsi="Century Gothic" w:cs="Times New Roman"/>
              </w:rPr>
              <w:t xml:space="preserve">CHLIC also maintains NCQA accreditation, which requires a comprehensive and rigorous audit of the Quality Program documents, policies, and other materials regarding Quality Management, Utilization Management, Case Management, Care Coordination, Credentialing, and Members’ Rights &amp; Responsibilities (approximately 250 documents). This evidence spans a period of 2 </w:t>
            </w:r>
            <w:proofErr w:type="gramStart"/>
            <w:r w:rsidRPr="002C1B07">
              <w:rPr>
                <w:rFonts w:ascii="Century Gothic" w:hAnsi="Century Gothic" w:cs="Times New Roman"/>
              </w:rPr>
              <w:t>years</w:t>
            </w:r>
            <w:proofErr w:type="gramEnd"/>
            <w:r w:rsidRPr="002C1B07">
              <w:rPr>
                <w:rFonts w:ascii="Century Gothic" w:hAnsi="Century Gothic" w:cs="Times New Roman"/>
              </w:rPr>
              <w:t xml:space="preserve"> and the majority of the evidence has to be reviewed and approved by our Medical Management Quality Committee (“MMQC”), Integrated Health Management Quality Committee (“IHMQC”), and Clinical Advisory Committee (“CAC”). Additionally, NCQA performs an audit of a random sample of denials, appeals, case management, and credentialing cases (approximately 350 records).</w:t>
            </w:r>
          </w:p>
          <w:p w14:paraId="5C9EC725" w14:textId="5F06F78B" w:rsidR="002C1B07" w:rsidRPr="002C1B07" w:rsidRDefault="002C1B07" w:rsidP="002C1B07">
            <w:pPr>
              <w:rPr>
                <w:rFonts w:ascii="Century Gothic" w:hAnsi="Century Gothic" w:cs="Times New Roman"/>
              </w:rPr>
            </w:pPr>
            <w:r w:rsidRPr="002C1B07">
              <w:rPr>
                <w:rFonts w:ascii="Century Gothic" w:hAnsi="Century Gothic" w:cs="Times New Roman"/>
              </w:rPr>
              <w:t>Cigna maintains one credentialing committee for the review of providers entering the network. Cigna does not routinely track credentialing exceptions for either M/S or MH/SUD Network Providers. Network Providers are re-credentialed on a three-year cycle as required by NCQA.</w:t>
            </w:r>
          </w:p>
          <w:p w14:paraId="177EBEA4" w14:textId="29537686" w:rsidR="002C1B07" w:rsidRPr="002C1B07" w:rsidRDefault="002C1B07" w:rsidP="002C1B07">
            <w:pPr>
              <w:rPr>
                <w:rFonts w:ascii="Century Gothic" w:hAnsi="Century Gothic" w:cs="Times New Roman"/>
              </w:rPr>
            </w:pPr>
            <w:r w:rsidRPr="002C1B07">
              <w:rPr>
                <w:rFonts w:ascii="Century Gothic" w:hAnsi="Century Gothic" w:cs="Times New Roman"/>
              </w:rPr>
              <w:t xml:space="preserve">NCQA Accreditation standards require that the organization maintain sufficient numbers and types of behavioral health, primary </w:t>
            </w:r>
            <w:proofErr w:type="gramStart"/>
            <w:r w:rsidRPr="002C1B07">
              <w:rPr>
                <w:rFonts w:ascii="Century Gothic" w:hAnsi="Century Gothic" w:cs="Times New Roman"/>
              </w:rPr>
              <w:t>care</w:t>
            </w:r>
            <w:proofErr w:type="gramEnd"/>
            <w:r w:rsidRPr="002C1B07">
              <w:rPr>
                <w:rFonts w:ascii="Century Gothic" w:hAnsi="Century Gothic" w:cs="Times New Roman"/>
              </w:rPr>
              <w:t xml:space="preserve"> and specialty care practitioners in its network. NCQA does not specifically dictate what the appropriate number/type should be. As a result, Cigna conducts </w:t>
            </w:r>
            <w:proofErr w:type="gramStart"/>
            <w:r w:rsidRPr="002C1B07">
              <w:rPr>
                <w:rFonts w:ascii="Century Gothic" w:hAnsi="Century Gothic" w:cs="Times New Roman"/>
              </w:rPr>
              <w:t>review</w:t>
            </w:r>
            <w:proofErr w:type="gramEnd"/>
            <w:r w:rsidRPr="002C1B07">
              <w:rPr>
                <w:rFonts w:ascii="Century Gothic" w:hAnsi="Century Gothic" w:cs="Times New Roman"/>
              </w:rPr>
              <w:t xml:space="preserve"> of its Network Adequacy standards at least annually to ensure requirements are sufficient for customer needs. Such analysis reviews external benchmarks (e.g., state laws or CMS requirements) as well as internal review of supply/demand and network adequacy enrollee complaints. Network adequacy analysis </w:t>
            </w:r>
            <w:proofErr w:type="gramStart"/>
            <w:r w:rsidRPr="002C1B07">
              <w:rPr>
                <w:rFonts w:ascii="Century Gothic" w:hAnsi="Century Gothic" w:cs="Times New Roman"/>
              </w:rPr>
              <w:t>considers:</w:t>
            </w:r>
            <w:proofErr w:type="gramEnd"/>
            <w:r w:rsidRPr="002C1B07">
              <w:rPr>
                <w:rFonts w:ascii="Century Gothic" w:hAnsi="Century Gothic" w:cs="Times New Roman"/>
              </w:rPr>
              <w:t xml:space="preserve"> geographic area, time/distance standards, provider/enrollee ratio, provider type and/or specialty and supply/demand. </w:t>
            </w:r>
          </w:p>
          <w:p w14:paraId="471AE1B0" w14:textId="01F6C328" w:rsidR="002C1B07" w:rsidRPr="002C1B07" w:rsidRDefault="002C1B07" w:rsidP="002C1B07">
            <w:pPr>
              <w:rPr>
                <w:rFonts w:ascii="Century Gothic" w:hAnsi="Century Gothic" w:cs="Times New Roman"/>
              </w:rPr>
            </w:pPr>
            <w:r w:rsidRPr="002C1B07">
              <w:rPr>
                <w:rFonts w:ascii="Century Gothic" w:hAnsi="Century Gothic" w:cs="Times New Roman"/>
              </w:rPr>
              <w:t xml:space="preserve">Cigna’s Quality Programs and Accreditation team defines quality monitoring standards and provides guidance in initiating improvement initiatives when deficiencies are identified. Quality studies are designed and documented to </w:t>
            </w:r>
            <w:proofErr w:type="gramStart"/>
            <w:r w:rsidRPr="002C1B07">
              <w:rPr>
                <w:rFonts w:ascii="Century Gothic" w:hAnsi="Century Gothic" w:cs="Times New Roman"/>
              </w:rPr>
              <w:t>objectively and systematically monitor, evaluate and improve the quality and appropriateness of care and service</w:t>
            </w:r>
            <w:proofErr w:type="gramEnd"/>
            <w:r w:rsidRPr="002C1B07">
              <w:rPr>
                <w:rFonts w:ascii="Century Gothic" w:hAnsi="Century Gothic" w:cs="Times New Roman"/>
              </w:rPr>
              <w:t>. Monitoring and driving improvements in quality of care and service to our customers is an integral component of Behavioral Accreditation, which reflects the Cigna commitment to continuous quality improvement throughout the organization.</w:t>
            </w:r>
          </w:p>
          <w:p w14:paraId="57AA6FDC" w14:textId="72A98C27" w:rsidR="002C1B07" w:rsidRPr="002C1B07" w:rsidRDefault="002C1B07" w:rsidP="002C1B07">
            <w:pPr>
              <w:rPr>
                <w:rFonts w:ascii="Century Gothic" w:hAnsi="Century Gothic" w:cs="Times New Roman"/>
              </w:rPr>
            </w:pPr>
            <w:r w:rsidRPr="002C1B07">
              <w:rPr>
                <w:rFonts w:ascii="Century Gothic" w:hAnsi="Century Gothic" w:cs="Times New Roman"/>
              </w:rPr>
              <w:t>For both its M/S provider network and its MH/SUD provider network, Cigna establishes and monitors clinically appropriate: (1) provider to customer ratios by provider type and/or specialty in urban, suburban and rural geographic regions; (2) time/distance standards for accessing the various provider types and/or specialties located within urban, suburban and rural geographic regions; and (3) appointment wait times for emergency care, urgent care and routine outpatient care for the various provider types and/or specialties, as prescribed by NCQA.</w:t>
            </w:r>
          </w:p>
          <w:p w14:paraId="4154219E" w14:textId="6D729DF7" w:rsidR="002C1B07" w:rsidRPr="002C1B07" w:rsidRDefault="002C1B07" w:rsidP="002C1B07">
            <w:pPr>
              <w:rPr>
                <w:rFonts w:ascii="Century Gothic" w:hAnsi="Century Gothic" w:cs="Times New Roman"/>
              </w:rPr>
            </w:pPr>
            <w:r w:rsidRPr="002C1B07">
              <w:rPr>
                <w:rFonts w:ascii="Century Gothic" w:hAnsi="Century Gothic" w:cs="Times New Roman"/>
              </w:rPr>
              <w:t>Assessing supply and demand of M/S and MH/SUD facilities are based upon the same indicators including, but not limited to, NCQA and NAIC network adequacy and access standards focused on distribution of provider types within geographic regions (i.e. zip codes);  plan population density within geographic regions (i.e. zip codes); time and/or distance to access provider type within urban, suburban and rural areas; appointment wait times for emergent, urgent and routine visits;  customer satisfaction surveys; and customer complaint data.</w:t>
            </w:r>
          </w:p>
          <w:p w14:paraId="6751C68A" w14:textId="61230FEE" w:rsidR="002C1B07" w:rsidRPr="002C1B07" w:rsidRDefault="002C1B07" w:rsidP="002C1B07">
            <w:pPr>
              <w:rPr>
                <w:rFonts w:ascii="Century Gothic" w:hAnsi="Century Gothic" w:cs="Times New Roman"/>
              </w:rPr>
            </w:pPr>
            <w:r w:rsidRPr="002C1B07">
              <w:rPr>
                <w:rFonts w:ascii="Century Gothic" w:hAnsi="Century Gothic" w:cs="Times New Roman"/>
              </w:rPr>
              <w:t xml:space="preserve">Ratio of Providers to Customers: Providers to customer ratios are normally calculated with the Provider count constant at 1, where the Provider count is based on unique Provider and the Customer count is based on customer’s home zip code (students may also provide their school </w:t>
            </w:r>
            <w:proofErr w:type="spellStart"/>
            <w:r w:rsidRPr="002C1B07">
              <w:rPr>
                <w:rFonts w:ascii="Century Gothic" w:hAnsi="Century Gothic" w:cs="Times New Roman"/>
              </w:rPr>
              <w:t>zipcode</w:t>
            </w:r>
            <w:proofErr w:type="spellEnd"/>
            <w:r w:rsidRPr="002C1B07">
              <w:rPr>
                <w:rFonts w:ascii="Century Gothic" w:hAnsi="Century Gothic" w:cs="Times New Roman"/>
              </w:rPr>
              <w:t xml:space="preserve"> at the time of enrollment). To convert to a ratio in this format, Cigna divides the customer count by the Provider count. For example, for an area with 3,000 customers and 30 Providers, – the ratio would be 1:100. </w:t>
            </w:r>
          </w:p>
          <w:p w14:paraId="473A960B"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In remote or rural areas, occasionally geographic availability guidelines are not able to be met due to lack of, or absence of, qualified Practitioners and/or Providers. The organization may need to alter the standard based on local availability. Supporting documentation that such </w:t>
            </w:r>
            <w:proofErr w:type="gramStart"/>
            <w:r w:rsidRPr="002C1B07">
              <w:rPr>
                <w:rFonts w:ascii="Century Gothic" w:hAnsi="Century Gothic" w:cs="Times New Roman"/>
              </w:rPr>
              <w:t>situation</w:t>
            </w:r>
            <w:proofErr w:type="gramEnd"/>
            <w:r w:rsidRPr="002C1B07">
              <w:rPr>
                <w:rFonts w:ascii="Century Gothic" w:hAnsi="Century Gothic" w:cs="Times New Roman"/>
              </w:rPr>
              <w:t xml:space="preserve"> exists must be supplied along with the proposed guideline changes to the appropriate Quality Committee for approval. Annually, the Quality Management team reviews and assesses the behavioral health care professional network to determine if goals are met and if the network is robust enough to meet the needs of its customers. NCQA requires certain measures to assess availability for urban/suburban, rural, and ratios (behavioral health care professional to customers) across its networks. Likewise, the Network team reviews and assesses the medical health care professional network to determine if goals are met in 90% of the zip codes within the service area for each provider specialty category for PCPs, High Volume Specialist, High Impact Specialists, and Hospitals.</w:t>
            </w:r>
          </w:p>
        </w:tc>
        <w:tc>
          <w:tcPr>
            <w:tcW w:w="2524" w:type="pct"/>
            <w:tcBorders>
              <w:top w:val="single" w:sz="4" w:space="0" w:color="auto"/>
              <w:left w:val="single" w:sz="4" w:space="0" w:color="auto"/>
              <w:bottom w:val="single" w:sz="4" w:space="0" w:color="auto"/>
              <w:right w:val="single" w:sz="4" w:space="0" w:color="auto"/>
            </w:tcBorders>
          </w:tcPr>
          <w:p w14:paraId="2B540B95" w14:textId="2D07C5E7" w:rsidR="002C1B07" w:rsidRPr="002C1B07" w:rsidRDefault="002C1B07" w:rsidP="002C1B07">
            <w:pPr>
              <w:rPr>
                <w:rFonts w:ascii="Century Gothic" w:hAnsi="Century Gothic" w:cs="Times New Roman"/>
                <w:b/>
                <w:bCs/>
                <w:iCs/>
              </w:rPr>
            </w:pPr>
            <w:r w:rsidRPr="002C1B07">
              <w:rPr>
                <w:rFonts w:ascii="Century Gothic" w:hAnsi="Century Gothic" w:cs="Times New Roman"/>
                <w:b/>
                <w:bCs/>
                <w:iCs/>
              </w:rPr>
              <w:t>Network Adequacy and Credentialing:</w:t>
            </w:r>
          </w:p>
          <w:p w14:paraId="524D283F"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Same as M/S </w:t>
            </w:r>
          </w:p>
        </w:tc>
      </w:tr>
      <w:tr w:rsidR="002C1B07" w:rsidRPr="002C1B07" w14:paraId="343AB821" w14:textId="77777777" w:rsidTr="002C1B07">
        <w:trPr>
          <w:trHeight w:val="1430"/>
        </w:trPr>
        <w:tc>
          <w:tcPr>
            <w:tcW w:w="2476" w:type="pct"/>
            <w:tcBorders>
              <w:top w:val="single" w:sz="4" w:space="0" w:color="auto"/>
              <w:left w:val="single" w:sz="4" w:space="0" w:color="auto"/>
              <w:bottom w:val="single" w:sz="4" w:space="0" w:color="auto"/>
              <w:right w:val="single" w:sz="4" w:space="0" w:color="auto"/>
            </w:tcBorders>
          </w:tcPr>
          <w:p w14:paraId="1D711FD2" w14:textId="1926F967" w:rsidR="002C1B07" w:rsidRPr="002C1B07" w:rsidRDefault="002C1B07" w:rsidP="002C1B07">
            <w:pPr>
              <w:rPr>
                <w:rFonts w:ascii="Century Gothic" w:hAnsi="Century Gothic" w:cs="Times New Roman"/>
                <w:b/>
                <w:bCs/>
              </w:rPr>
            </w:pPr>
            <w:r w:rsidRPr="002C1B07">
              <w:rPr>
                <w:rFonts w:ascii="Century Gothic" w:hAnsi="Century Gothic" w:cs="Times New Roman"/>
                <w:b/>
                <w:bCs/>
              </w:rPr>
              <w:t>Reimbursement:</w:t>
            </w:r>
          </w:p>
          <w:p w14:paraId="17DE8CAA"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Cigna's in-network provider reimbursement methodology, exclusive of DRG reimbursement is based upon factors including, but not limited </w:t>
            </w:r>
            <w:proofErr w:type="gramStart"/>
            <w:r w:rsidRPr="002C1B07">
              <w:rPr>
                <w:rFonts w:ascii="Century Gothic" w:hAnsi="Century Gothic" w:cs="Times New Roman"/>
              </w:rPr>
              <w:t>to:</w:t>
            </w:r>
            <w:proofErr w:type="gramEnd"/>
            <w:r w:rsidRPr="002C1B07">
              <w:rPr>
                <w:rFonts w:ascii="Century Gothic" w:hAnsi="Century Gothic" w:cs="Times New Roman"/>
              </w:rPr>
              <w:t xml:space="preserve">  geographic market (i.e. market rate and payment type for provider type and/or specialty); type of provider (i.e. hospital, clinic and practitioner) and/or specialty; supply of provider type and/or specialty; network adequacy and current Medicare reimbursement rates. All staff participating in a contract negotiation are trained on internal Cigna policies and </w:t>
            </w:r>
            <w:proofErr w:type="gramStart"/>
            <w:r w:rsidRPr="002C1B07">
              <w:rPr>
                <w:rFonts w:ascii="Century Gothic" w:hAnsi="Century Gothic" w:cs="Times New Roman"/>
              </w:rPr>
              <w:t>procedures, and</w:t>
            </w:r>
            <w:proofErr w:type="gramEnd"/>
            <w:r w:rsidRPr="002C1B07">
              <w:rPr>
                <w:rFonts w:ascii="Century Gothic" w:hAnsi="Century Gothic" w:cs="Times New Roman"/>
              </w:rPr>
              <w:t xml:space="preserve"> have access to necessary tools to negotiate and develop appropriate reimbursement rates based on standard methodologies, provider specific reimbursement requests and escalate for justification and approval of any deviations.</w:t>
            </w:r>
          </w:p>
          <w:p w14:paraId="4FC71346"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Concurrent with the negotiation or immediately thereafter, provider credentialing will be completed by Cigna (or other such delegate of credentialing).  The provider must successfully meet Cigna credentialing requirements before the contract may be fully executed. CAQH is utilized to obtain most individual practitioner credentialing related information, expediting the credentialing process while Cigna adhering to all state credentialing review timelines. Upon finalization and successful credentialing, the provider agreement is executed and their participation in the Cigna network(s) begins on the applicable effective date. Specific Factors triggering the application of Network Adequacy standards, credentialing, and reimbursement are detailed below.  </w:t>
            </w:r>
          </w:p>
        </w:tc>
        <w:tc>
          <w:tcPr>
            <w:tcW w:w="2524" w:type="pct"/>
            <w:tcBorders>
              <w:top w:val="single" w:sz="4" w:space="0" w:color="auto"/>
              <w:left w:val="single" w:sz="4" w:space="0" w:color="auto"/>
              <w:bottom w:val="single" w:sz="4" w:space="0" w:color="auto"/>
              <w:right w:val="single" w:sz="4" w:space="0" w:color="auto"/>
            </w:tcBorders>
          </w:tcPr>
          <w:p w14:paraId="338B8655" w14:textId="073A9307" w:rsidR="002C1B07" w:rsidRPr="002C1B07" w:rsidRDefault="002C1B07" w:rsidP="002C1B07">
            <w:pPr>
              <w:rPr>
                <w:rFonts w:ascii="Century Gothic" w:hAnsi="Century Gothic" w:cs="Times New Roman"/>
                <w:b/>
                <w:bCs/>
              </w:rPr>
            </w:pPr>
            <w:r w:rsidRPr="002C1B07">
              <w:rPr>
                <w:rFonts w:ascii="Century Gothic" w:hAnsi="Century Gothic" w:cs="Times New Roman"/>
                <w:b/>
                <w:bCs/>
              </w:rPr>
              <w:t>Reimbursement:</w:t>
            </w:r>
          </w:p>
          <w:p w14:paraId="0AAD44F2" w14:textId="77777777" w:rsidR="002C1B07" w:rsidRPr="002C1B07" w:rsidRDefault="002C1B07" w:rsidP="002C1B07">
            <w:pPr>
              <w:rPr>
                <w:rFonts w:ascii="Century Gothic" w:hAnsi="Century Gothic" w:cs="Times New Roman"/>
                <w:bCs/>
              </w:rPr>
            </w:pPr>
            <w:r w:rsidRPr="002C1B07">
              <w:rPr>
                <w:rFonts w:ascii="Century Gothic" w:hAnsi="Century Gothic" w:cs="Times New Roman"/>
                <w:bCs/>
              </w:rPr>
              <w:t xml:space="preserve">Same as M/S </w:t>
            </w:r>
          </w:p>
        </w:tc>
      </w:tr>
      <w:tr w:rsidR="002C1B07" w:rsidRPr="002C1B07" w14:paraId="436A7EAE" w14:textId="77777777" w:rsidTr="002C1B07">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69704" w14:textId="77777777" w:rsidR="002C1B07" w:rsidRPr="002C1B07" w:rsidRDefault="002C1B07" w:rsidP="002C1B07">
            <w:pPr>
              <w:rPr>
                <w:rFonts w:ascii="Century Gothic" w:hAnsi="Century Gothic" w:cs="Times New Roman"/>
                <w:b/>
                <w:bCs/>
              </w:rPr>
            </w:pPr>
          </w:p>
          <w:p w14:paraId="36CC43CE"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Step 3 – Identify the evidentiary standards used for the factors identified in Step 2, when applicable, provided that every factor shall be defined, and any other source or evidence relied upon to design and apply the NQTL to mental health or substance use disorder benefits and medical or surgical benefits.</w:t>
            </w:r>
          </w:p>
          <w:p w14:paraId="5551F706" w14:textId="77777777" w:rsidR="002C1B07" w:rsidRPr="002C1B07" w:rsidRDefault="002C1B07" w:rsidP="002C1B07">
            <w:pPr>
              <w:numPr>
                <w:ilvl w:val="0"/>
                <w:numId w:val="46"/>
              </w:numPr>
              <w:rPr>
                <w:rFonts w:ascii="Century Gothic" w:hAnsi="Century Gothic" w:cs="Times New Roman"/>
                <w:bCs/>
                <w:i/>
              </w:rPr>
            </w:pPr>
            <w:r w:rsidRPr="002C1B07">
              <w:rPr>
                <w:rFonts w:ascii="Century Gothic" w:hAnsi="Century Gothic" w:cs="Times New Roman"/>
                <w:bCs/>
                <w:i/>
              </w:rPr>
              <w:t>Analyses should explain whether any factors were given more weight than others and the reason(s) for doing so, including an evaluation of any specific data used in the determination.</w:t>
            </w:r>
          </w:p>
          <w:p w14:paraId="447E7C11" w14:textId="77777777" w:rsidR="002C1B07" w:rsidRPr="002C1B07" w:rsidRDefault="002C1B07" w:rsidP="002C1B07">
            <w:pPr>
              <w:numPr>
                <w:ilvl w:val="0"/>
                <w:numId w:val="46"/>
              </w:numPr>
              <w:rPr>
                <w:rFonts w:ascii="Century Gothic" w:hAnsi="Century Gothic" w:cs="Times New Roman"/>
                <w:bCs/>
                <w:i/>
              </w:rPr>
            </w:pPr>
            <w:r w:rsidRPr="002C1B07">
              <w:rPr>
                <w:rFonts w:ascii="Century Gothic" w:hAnsi="Century Gothic" w:cs="Times New Roman"/>
                <w:bCs/>
                <w:i/>
              </w:rPr>
              <w:t>To the extent the plan or issuer defines any of the factors, evidentiary standards, strategies, or processes in a quantitative manner, it must include the precise definitions used and any supporting sources.</w:t>
            </w:r>
          </w:p>
        </w:tc>
      </w:tr>
      <w:tr w:rsidR="002C1B07" w:rsidRPr="002C1B07" w14:paraId="270187F3" w14:textId="77777777" w:rsidTr="002C1B07">
        <w:trPr>
          <w:trHeight w:val="620"/>
        </w:trPr>
        <w:tc>
          <w:tcPr>
            <w:tcW w:w="247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78A9F44" w14:textId="77777777" w:rsidR="002C1B07" w:rsidRPr="002C1B07" w:rsidRDefault="002C1B07" w:rsidP="002C1B07">
            <w:pPr>
              <w:rPr>
                <w:rFonts w:ascii="Century Gothic" w:hAnsi="Century Gothic" w:cs="Times New Roman"/>
                <w:u w:val="single"/>
              </w:rPr>
            </w:pPr>
            <w:r w:rsidRPr="002C1B07">
              <w:rPr>
                <w:rFonts w:ascii="Century Gothic" w:hAnsi="Century Gothic" w:cs="Times New Roman"/>
                <w:b/>
                <w:u w:val="single"/>
              </w:rPr>
              <w:t>Medical/Surgical</w:t>
            </w:r>
            <w:r w:rsidRPr="002C1B07">
              <w:rPr>
                <w:rFonts w:ascii="Century Gothic" w:hAnsi="Century Gothic" w:cs="Times New Roman"/>
                <w:u w:val="single"/>
              </w:rPr>
              <w:t>:</w:t>
            </w:r>
          </w:p>
        </w:tc>
        <w:tc>
          <w:tcPr>
            <w:tcW w:w="252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0CED89" w14:textId="77777777" w:rsidR="002C1B07" w:rsidRPr="002C1B07" w:rsidRDefault="002C1B07" w:rsidP="002C1B07">
            <w:pPr>
              <w:rPr>
                <w:rFonts w:ascii="Century Gothic" w:hAnsi="Century Gothic" w:cs="Times New Roman"/>
                <w:u w:val="single"/>
              </w:rPr>
            </w:pPr>
            <w:r w:rsidRPr="002C1B07">
              <w:rPr>
                <w:rFonts w:ascii="Century Gothic" w:hAnsi="Century Gothic" w:cs="Times New Roman"/>
                <w:b/>
                <w:u w:val="single"/>
              </w:rPr>
              <w:t>MH/SUD</w:t>
            </w:r>
            <w:r w:rsidRPr="002C1B07">
              <w:rPr>
                <w:rFonts w:ascii="Century Gothic" w:hAnsi="Century Gothic" w:cs="Times New Roman"/>
                <w:u w:val="single"/>
              </w:rPr>
              <w:t>:</w:t>
            </w:r>
          </w:p>
        </w:tc>
      </w:tr>
      <w:tr w:rsidR="002C1B07" w:rsidRPr="002C1B07" w14:paraId="4ED3CACB" w14:textId="77777777" w:rsidTr="002C1B07">
        <w:trPr>
          <w:trHeight w:val="620"/>
        </w:trPr>
        <w:tc>
          <w:tcPr>
            <w:tcW w:w="2476" w:type="pct"/>
            <w:tcBorders>
              <w:top w:val="single" w:sz="4" w:space="0" w:color="auto"/>
              <w:left w:val="single" w:sz="4" w:space="0" w:color="auto"/>
              <w:bottom w:val="single" w:sz="4" w:space="0" w:color="auto"/>
              <w:right w:val="single" w:sz="4" w:space="0" w:color="auto"/>
            </w:tcBorders>
          </w:tcPr>
          <w:p w14:paraId="40DC9DE6" w14:textId="6D272644" w:rsidR="002C1B07" w:rsidRPr="002C1B07" w:rsidRDefault="002C1B07" w:rsidP="002C1B07">
            <w:pPr>
              <w:rPr>
                <w:rFonts w:ascii="Century Gothic" w:hAnsi="Century Gothic" w:cs="Times New Roman"/>
                <w:b/>
                <w:bCs/>
              </w:rPr>
            </w:pPr>
            <w:r w:rsidRPr="002C1B07">
              <w:rPr>
                <w:rFonts w:ascii="Century Gothic" w:hAnsi="Century Gothic" w:cs="Times New Roman"/>
                <w:b/>
                <w:bCs/>
              </w:rPr>
              <w:t xml:space="preserve">Network adequacy: </w:t>
            </w:r>
          </w:p>
          <w:p w14:paraId="6AA244BD"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Cigna considers the composition of its current medical/surgical network providers and MH/SUD network providers by provider type and/or specialty, in addition to census (membership) data, to ensure it maintains an adequate medical/surgical provider network and an adequate MH/SUD provider network to meet the clinical needs of its customers.  Cigna conducts oversight and monitoring of the adequacy of its M/S provider network(s) and MH/SUD provider network to assess whether they are meeting its internal and regulatory driven network access standards.  When access to care standards </w:t>
            </w:r>
            <w:proofErr w:type="gramStart"/>
            <w:r w:rsidRPr="002C1B07">
              <w:rPr>
                <w:rFonts w:ascii="Century Gothic" w:hAnsi="Century Gothic" w:cs="Times New Roman"/>
              </w:rPr>
              <w:t>are</w:t>
            </w:r>
            <w:proofErr w:type="gramEnd"/>
            <w:r w:rsidRPr="002C1B07">
              <w:rPr>
                <w:rFonts w:ascii="Century Gothic" w:hAnsi="Century Gothic" w:cs="Times New Roman"/>
              </w:rPr>
              <w:t xml:space="preserve"> not met, Cigna engages in active recruitment of the relevant provider type and/or specialty at issue.</w:t>
            </w:r>
          </w:p>
          <w:p w14:paraId="2E25A652" w14:textId="585BBDE4" w:rsidR="002C1B07" w:rsidRPr="002C1B07" w:rsidRDefault="002C1B07" w:rsidP="002C1B07">
            <w:pPr>
              <w:rPr>
                <w:rFonts w:ascii="Century Gothic" w:hAnsi="Century Gothic" w:cs="Times New Roman"/>
              </w:rPr>
            </w:pPr>
            <w:r w:rsidRPr="002C1B07">
              <w:rPr>
                <w:rFonts w:ascii="Century Gothic" w:hAnsi="Century Gothic" w:cs="Times New Roman"/>
              </w:rPr>
              <w:t xml:space="preserve">Cigna conducts an annual analysis of its network adequacy requirements, and Cigna's medical and behavioral networks meet the company’s established access to care standards in urban, suburban, and rural areas. In plans without an out of network benefit, in the event an enrollee cannot secure a provider or appointment within a reasonable time/distance or with reasonable appointment availability </w:t>
            </w:r>
            <w:proofErr w:type="spellStart"/>
            <w:r w:rsidRPr="002C1B07">
              <w:rPr>
                <w:rFonts w:ascii="Century Gothic" w:hAnsi="Century Gothic" w:cs="Times New Roman"/>
              </w:rPr>
              <w:t>Evernorth</w:t>
            </w:r>
            <w:proofErr w:type="spellEnd"/>
            <w:r w:rsidRPr="002C1B07">
              <w:rPr>
                <w:rFonts w:ascii="Century Gothic" w:hAnsi="Century Gothic" w:cs="Times New Roman"/>
              </w:rPr>
              <w:t xml:space="preserve"> Behavioral Health (“EBH”) will authorize out-of-network services at the in-network benefit level. Enrollees </w:t>
            </w:r>
            <w:proofErr w:type="gramStart"/>
            <w:r w:rsidRPr="002C1B07">
              <w:rPr>
                <w:rFonts w:ascii="Century Gothic" w:hAnsi="Century Gothic" w:cs="Times New Roman"/>
              </w:rPr>
              <w:t>are able to</w:t>
            </w:r>
            <w:proofErr w:type="gramEnd"/>
            <w:r w:rsidRPr="002C1B07">
              <w:rPr>
                <w:rFonts w:ascii="Century Gothic" w:hAnsi="Century Gothic" w:cs="Times New Roman"/>
              </w:rPr>
              <w:t xml:space="preserve"> receive assistance in locating a provider or appointment by contacting the phone number on the back of their ID card. In the event the enrollee and/or a Cigna representative cannot locate a provider/appointment within the acceptable time/distance standards a request can be made for out-of-network care at the in-network benefit level for plans without out of network benefits. </w:t>
            </w:r>
          </w:p>
          <w:p w14:paraId="0EA769E6" w14:textId="5290C4AB" w:rsidR="002C1B07" w:rsidRPr="002C1B07" w:rsidRDefault="002C1B07" w:rsidP="002C1B07">
            <w:pPr>
              <w:rPr>
                <w:rFonts w:ascii="Century Gothic" w:hAnsi="Century Gothic" w:cs="Times New Roman"/>
              </w:rPr>
            </w:pPr>
            <w:r w:rsidRPr="002C1B07">
              <w:rPr>
                <w:rFonts w:ascii="Century Gothic" w:hAnsi="Century Gothic" w:cs="Times New Roman"/>
              </w:rPr>
              <w:t xml:space="preserve">As an additional way of ensuring meaningful access to services, Cigna also measures, consistent with NCQA standards, accessibility of care to MH/SUD providers annually using findings from enrollee surveys and complaints and by measuring results against the accessibility standards and metrics. Cigna uses the continuous quality improvement (CQI) process to identify opportunities for improvement. Cigna has reviewed and rendered </w:t>
            </w:r>
            <w:proofErr w:type="gramStart"/>
            <w:r w:rsidRPr="002C1B07">
              <w:rPr>
                <w:rFonts w:ascii="Century Gothic" w:hAnsi="Century Gothic" w:cs="Times New Roman"/>
              </w:rPr>
              <w:t>uniform</w:t>
            </w:r>
            <w:proofErr w:type="gramEnd"/>
            <w:r w:rsidRPr="002C1B07">
              <w:rPr>
                <w:rFonts w:ascii="Century Gothic" w:hAnsi="Century Gothic" w:cs="Times New Roman"/>
              </w:rPr>
              <w:t xml:space="preserve">, where appropriate, its M/S and MH/SUD network adequacy policies and procedures to ensure comparability across M/S and MH/SUD providers.  These policies and procedures are reviewed at least annually to ensure the continued sufficiency of the standards in meeting enrollees’ needs. Cigna uses a combined network adequacy </w:t>
            </w:r>
            <w:proofErr w:type="gramStart"/>
            <w:r w:rsidRPr="002C1B07">
              <w:rPr>
                <w:rFonts w:ascii="Century Gothic" w:hAnsi="Century Gothic" w:cs="Times New Roman"/>
              </w:rPr>
              <w:t>policy</w:t>
            </w:r>
            <w:proofErr w:type="gramEnd"/>
            <w:r w:rsidRPr="002C1B07">
              <w:rPr>
                <w:rFonts w:ascii="Century Gothic" w:hAnsi="Century Gothic" w:cs="Times New Roman"/>
              </w:rPr>
              <w:t xml:space="preserve"> and a similar reporting template is used for both M/S and MH/SUD benefits.  </w:t>
            </w:r>
          </w:p>
        </w:tc>
        <w:tc>
          <w:tcPr>
            <w:tcW w:w="2524" w:type="pct"/>
            <w:tcBorders>
              <w:top w:val="single" w:sz="4" w:space="0" w:color="auto"/>
              <w:left w:val="single" w:sz="4" w:space="0" w:color="auto"/>
              <w:bottom w:val="single" w:sz="4" w:space="0" w:color="auto"/>
              <w:right w:val="single" w:sz="4" w:space="0" w:color="auto"/>
            </w:tcBorders>
          </w:tcPr>
          <w:p w14:paraId="6BFF1AC9" w14:textId="11F3FDC9" w:rsidR="002C1B07" w:rsidRPr="002C1B07" w:rsidRDefault="002C1B07" w:rsidP="002C1B07">
            <w:pPr>
              <w:rPr>
                <w:rFonts w:ascii="Century Gothic" w:hAnsi="Century Gothic" w:cs="Times New Roman"/>
                <w:b/>
                <w:bCs/>
              </w:rPr>
            </w:pPr>
            <w:r w:rsidRPr="002C1B07">
              <w:rPr>
                <w:rFonts w:ascii="Century Gothic" w:hAnsi="Century Gothic" w:cs="Times New Roman"/>
                <w:b/>
                <w:bCs/>
              </w:rPr>
              <w:t xml:space="preserve">Network adequacy: </w:t>
            </w:r>
          </w:p>
          <w:p w14:paraId="34B37067"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Same as M/S</w:t>
            </w:r>
          </w:p>
          <w:p w14:paraId="62EC0219" w14:textId="77777777" w:rsidR="002C1B07" w:rsidRPr="002C1B07" w:rsidRDefault="002C1B07" w:rsidP="002C1B07">
            <w:pPr>
              <w:rPr>
                <w:rFonts w:ascii="Century Gothic" w:hAnsi="Century Gothic" w:cs="Times New Roman"/>
                <w:b/>
                <w:bCs/>
                <w:iCs/>
              </w:rPr>
            </w:pPr>
          </w:p>
          <w:p w14:paraId="13195B64" w14:textId="77777777" w:rsidR="002C1B07" w:rsidRPr="002C1B07" w:rsidRDefault="002C1B07" w:rsidP="002C1B07">
            <w:pPr>
              <w:rPr>
                <w:rFonts w:ascii="Century Gothic" w:hAnsi="Century Gothic" w:cs="Times New Roman"/>
              </w:rPr>
            </w:pPr>
          </w:p>
        </w:tc>
      </w:tr>
      <w:tr w:rsidR="002C1B07" w:rsidRPr="002C1B07" w14:paraId="2BE133A2" w14:textId="77777777" w:rsidTr="002C1B07">
        <w:trPr>
          <w:trHeight w:val="620"/>
        </w:trPr>
        <w:tc>
          <w:tcPr>
            <w:tcW w:w="2476" w:type="pct"/>
            <w:tcBorders>
              <w:top w:val="single" w:sz="4" w:space="0" w:color="auto"/>
              <w:left w:val="single" w:sz="4" w:space="0" w:color="auto"/>
              <w:bottom w:val="single" w:sz="4" w:space="0" w:color="auto"/>
              <w:right w:val="single" w:sz="4" w:space="0" w:color="auto"/>
            </w:tcBorders>
          </w:tcPr>
          <w:p w14:paraId="5BA7A11F" w14:textId="16D5C318" w:rsidR="002C1B07" w:rsidRPr="002C1B07" w:rsidRDefault="002C1B07" w:rsidP="002C1B07">
            <w:pPr>
              <w:rPr>
                <w:rFonts w:ascii="Century Gothic" w:hAnsi="Century Gothic" w:cs="Times New Roman"/>
                <w:b/>
                <w:bCs/>
                <w:iCs/>
              </w:rPr>
            </w:pPr>
            <w:r w:rsidRPr="002C1B07">
              <w:rPr>
                <w:rFonts w:ascii="Century Gothic" w:hAnsi="Century Gothic" w:cs="Times New Roman"/>
                <w:b/>
                <w:bCs/>
                <w:iCs/>
              </w:rPr>
              <w:t xml:space="preserve">Credentialing: </w:t>
            </w:r>
          </w:p>
          <w:p w14:paraId="623E91EA" w14:textId="17236631" w:rsidR="002C1B07" w:rsidRPr="002C1B07" w:rsidRDefault="002C1B07" w:rsidP="002C1B07">
            <w:pPr>
              <w:rPr>
                <w:rFonts w:ascii="Century Gothic" w:hAnsi="Century Gothic" w:cs="Times New Roman"/>
                <w:iCs/>
              </w:rPr>
            </w:pPr>
            <w:r w:rsidRPr="002C1B07">
              <w:rPr>
                <w:rFonts w:ascii="Century Gothic" w:hAnsi="Century Gothic" w:cs="Times New Roman"/>
                <w:iCs/>
              </w:rPr>
              <w:t>Credentialing criteria for both M/S and MH/SUD Network Providers includes the following standard requirements: (1) signed agreement to participate (2) signed application and provider attestation (3) verification of unrestricted state medical license with appropriate licensing agency; (4) verification of valid, unrestricted DEA certificate (if applicable); (5) verification of full, unrestricted admitting privileges at a Cigna participating hospital; (6) verification Board certification, (if applicable); (7) verification of highest level of education and training, if not board certified; (8) review and verification of malpractice claims history; (9) review of work history; (10) verification of adequate malpractice insurance; and (11) verification of prior and current sanction activities Additional criteria may be applicable pursuant to state credentialing and licensing requirements.</w:t>
            </w:r>
          </w:p>
        </w:tc>
        <w:tc>
          <w:tcPr>
            <w:tcW w:w="2524" w:type="pct"/>
            <w:tcBorders>
              <w:top w:val="single" w:sz="4" w:space="0" w:color="auto"/>
              <w:left w:val="single" w:sz="4" w:space="0" w:color="auto"/>
              <w:bottom w:val="single" w:sz="4" w:space="0" w:color="auto"/>
              <w:right w:val="single" w:sz="4" w:space="0" w:color="auto"/>
            </w:tcBorders>
          </w:tcPr>
          <w:p w14:paraId="1570B2C0" w14:textId="77777777" w:rsidR="002C1B07" w:rsidRPr="002C1B07" w:rsidRDefault="002C1B07" w:rsidP="002C1B07">
            <w:pPr>
              <w:rPr>
                <w:rFonts w:ascii="Century Gothic" w:hAnsi="Century Gothic" w:cs="Times New Roman"/>
                <w:b/>
                <w:bCs/>
                <w:iCs/>
              </w:rPr>
            </w:pPr>
            <w:r w:rsidRPr="002C1B07">
              <w:rPr>
                <w:rFonts w:ascii="Century Gothic" w:hAnsi="Century Gothic" w:cs="Times New Roman"/>
                <w:b/>
                <w:bCs/>
                <w:iCs/>
              </w:rPr>
              <w:t>Credentialing:</w:t>
            </w:r>
          </w:p>
          <w:p w14:paraId="1F862314" w14:textId="77777777" w:rsidR="002C1B07" w:rsidRPr="002C1B07" w:rsidRDefault="002C1B07" w:rsidP="002C1B07">
            <w:pPr>
              <w:rPr>
                <w:rFonts w:ascii="Century Gothic" w:hAnsi="Century Gothic" w:cs="Times New Roman"/>
                <w:b/>
                <w:bCs/>
                <w:iCs/>
              </w:rPr>
            </w:pPr>
          </w:p>
          <w:p w14:paraId="77FC79FF" w14:textId="77777777" w:rsidR="002C1B07" w:rsidRPr="002C1B07" w:rsidRDefault="002C1B07" w:rsidP="002C1B07">
            <w:pPr>
              <w:rPr>
                <w:rFonts w:ascii="Century Gothic" w:hAnsi="Century Gothic" w:cs="Times New Roman"/>
              </w:rPr>
            </w:pPr>
          </w:p>
        </w:tc>
      </w:tr>
      <w:tr w:rsidR="002C1B07" w:rsidRPr="002C1B07" w14:paraId="3C41A9CD" w14:textId="77777777" w:rsidTr="002C1B07">
        <w:trPr>
          <w:trHeight w:val="620"/>
        </w:trPr>
        <w:tc>
          <w:tcPr>
            <w:tcW w:w="2476" w:type="pct"/>
            <w:tcBorders>
              <w:top w:val="single" w:sz="4" w:space="0" w:color="auto"/>
              <w:left w:val="single" w:sz="4" w:space="0" w:color="auto"/>
              <w:bottom w:val="single" w:sz="4" w:space="0" w:color="auto"/>
              <w:right w:val="single" w:sz="4" w:space="0" w:color="auto"/>
            </w:tcBorders>
          </w:tcPr>
          <w:p w14:paraId="3C04982F" w14:textId="60C85D5D" w:rsidR="002C1B07" w:rsidRPr="002C1B07" w:rsidRDefault="002C1B07" w:rsidP="002C1B07">
            <w:pPr>
              <w:rPr>
                <w:rFonts w:ascii="Century Gothic" w:hAnsi="Century Gothic" w:cs="Times New Roman"/>
                <w:b/>
              </w:rPr>
            </w:pPr>
            <w:r w:rsidRPr="002C1B07">
              <w:rPr>
                <w:rFonts w:ascii="Century Gothic" w:hAnsi="Century Gothic" w:cs="Times New Roman"/>
                <w:b/>
              </w:rPr>
              <w:t>Reimbursement</w:t>
            </w:r>
            <w:r>
              <w:rPr>
                <w:rFonts w:ascii="Century Gothic" w:hAnsi="Century Gothic" w:cs="Times New Roman"/>
                <w:b/>
              </w:rPr>
              <w:t>:</w:t>
            </w:r>
          </w:p>
          <w:p w14:paraId="174F0DEE"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Whether for initial negotiation or renegotiation, Cigna's Network Provider reimbursement methodology for MH/SUD and M/S Network Providers are based upon the same array of factors.  Re-negotiations of reimbursement rates are conducted according to the terms of the contract, or if not specified in the contract, they are conducted at the request of either party. The number of Network Providers (Individual, Group or Facility) joining or already part of the network does not factor into initial rate offerings. M/S and MH/SUD facilities may be reimbursed per diem, Diagnosis Related </w:t>
            </w:r>
            <w:proofErr w:type="gramStart"/>
            <w:r w:rsidRPr="002C1B07">
              <w:rPr>
                <w:rFonts w:ascii="Century Gothic" w:hAnsi="Century Gothic" w:cs="Times New Roman"/>
              </w:rPr>
              <w:t>Group</w:t>
            </w:r>
            <w:proofErr w:type="gramEnd"/>
            <w:r w:rsidRPr="002C1B07">
              <w:rPr>
                <w:rFonts w:ascii="Century Gothic" w:hAnsi="Century Gothic" w:cs="Times New Roman"/>
              </w:rPr>
              <w:t xml:space="preserve"> or case rate. Per diem reimbursement involves a flat dollar amount for each day as reimbursement for the service. DRG reimbursement is based upon Medicare DRG calculations, which assign payment levels to each DRG based on the average cost of treatment. Case rates, also referred to as </w:t>
            </w:r>
            <w:r w:rsidRPr="002C1B07">
              <w:rPr>
                <w:rFonts w:ascii="Century Gothic" w:hAnsi="Century Gothic" w:cs="Times New Roman"/>
                <w:iCs/>
              </w:rPr>
              <w:t>flat rates</w:t>
            </w:r>
            <w:r w:rsidRPr="002C1B07">
              <w:rPr>
                <w:rFonts w:ascii="Century Gothic" w:hAnsi="Century Gothic" w:cs="Times New Roman"/>
                <w:i/>
              </w:rPr>
              <w:t>,</w:t>
            </w:r>
            <w:r w:rsidRPr="002C1B07">
              <w:rPr>
                <w:rFonts w:ascii="Century Gothic" w:hAnsi="Century Gothic" w:cs="Times New Roman"/>
              </w:rPr>
              <w:t xml:space="preserve"> describe a reimbursement structure in which providers receive a flat reimbursement rate for every patient visit, regardless of the service (most often utilized in urgent care). Cigna does not determine or mandate the reimbursement type; selection of reimbursement type is determined by the facility. Generally, M/S facility providers request DRG reimbursement, while MH/SUD facility providers request per diem reimbursement. More than 90% of MH/SUD Provider Network contracts reflect per diem reimbursement. The evidentiary factors taken into consideration in the negotiation of the per-diem rate are not weighted or prioritized one more than the other; however, additional consideration may be given to meet network adequacy standards. </w:t>
            </w:r>
          </w:p>
          <w:p w14:paraId="4ED6288B"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Factors for reimbursement negotiation include: (1) </w:t>
            </w:r>
            <w:r w:rsidRPr="002C1B07">
              <w:rPr>
                <w:rFonts w:ascii="Century Gothic" w:hAnsi="Century Gothic" w:cs="Times New Roman"/>
                <w:bCs/>
              </w:rPr>
              <w:t xml:space="preserve">Geographic market, which may be adjusted based upon Medicare Geographical Practice Cost Index (“GPCI”) </w:t>
            </w:r>
            <w:r w:rsidRPr="002C1B07">
              <w:rPr>
                <w:rFonts w:ascii="Century Gothic" w:hAnsi="Century Gothic" w:cs="Times New Roman"/>
              </w:rPr>
              <w:t xml:space="preserve">Geographic Practice Cost Index (GPCI) reflects the relative cost of practicing in a locality against a national average. Each relative value is multiplied by the corresponding GPCI. The three component factors are then accumulated to arrive at an adjusted amount. This amount is then multiplied by the conversion factor to establish the Medicare full fee schedule amount in the Medicare Physician Fee Schedule Data Base (MPFSDB). CMS performs calculations on the fee schedule, </w:t>
            </w:r>
            <w:proofErr w:type="gramStart"/>
            <w:r w:rsidRPr="002C1B07">
              <w:rPr>
                <w:rFonts w:ascii="Century Gothic" w:hAnsi="Century Gothic" w:cs="Times New Roman"/>
              </w:rPr>
              <w:t>with the exception of</w:t>
            </w:r>
            <w:proofErr w:type="gramEnd"/>
            <w:r w:rsidRPr="002C1B07">
              <w:rPr>
                <w:rFonts w:ascii="Century Gothic" w:hAnsi="Century Gothic" w:cs="Times New Roman"/>
              </w:rPr>
              <w:t xml:space="preserve"> carrier-priced procedure codes, and provides fee schedule calculations to the Medicare Administrative Contractors (MACs). Geographic Practice Cost Index is not weighted for purposes of per diem reimbursement;  (2) </w:t>
            </w:r>
            <w:r w:rsidRPr="002C1B07">
              <w:rPr>
                <w:rFonts w:ascii="Century Gothic" w:hAnsi="Century Gothic" w:cs="Times New Roman"/>
                <w:bCs/>
              </w:rPr>
              <w:t xml:space="preserve">Type of provider and/or specialty (e.g. physician practitioner v. non-physician practitioner v. facility); </w:t>
            </w:r>
            <w:r w:rsidRPr="002C1B07">
              <w:rPr>
                <w:rFonts w:ascii="Century Gothic" w:hAnsi="Century Gothic" w:cs="Times New Roman"/>
              </w:rPr>
              <w:t xml:space="preserve">Provider types are dependent upon state licensing and credentialing requirements as outlined by the applicable state or NCQA. Cigna does not weight provider types or designate any additional provider and/or specialty designations (e.g. physician practitioner v. non-physician practitioner); (3) </w:t>
            </w:r>
            <w:r w:rsidRPr="002C1B07">
              <w:rPr>
                <w:rFonts w:ascii="Century Gothic" w:hAnsi="Century Gothic" w:cs="Times New Roman"/>
                <w:bCs/>
              </w:rPr>
              <w:t xml:space="preserve">Supply of provider type and/or specialty. </w:t>
            </w:r>
            <w:r w:rsidRPr="002C1B07">
              <w:rPr>
                <w:rFonts w:ascii="Century Gothic" w:hAnsi="Century Gothic" w:cs="Times New Roman"/>
              </w:rPr>
              <w:t xml:space="preserve">Provider specific fee schedules are used for multi-specialty specialty groups or unique specialty groups where reimbursement terms must be customized to meet the needs of that group or specialty. Provider specific or specialty fee schedules are used to retain providers if the providers are needed to meet network access requirements and/or increase membership. Supply of provider type and/or specialty are not weighted in relation to the other evidentiary standards for purposes of per diem reimbursement; (4) </w:t>
            </w:r>
            <w:r w:rsidRPr="002C1B07">
              <w:rPr>
                <w:rFonts w:ascii="Century Gothic" w:hAnsi="Century Gothic" w:cs="Times New Roman"/>
                <w:bCs/>
              </w:rPr>
              <w:t>Network need and/or demand for provider type and/or specialty. N</w:t>
            </w:r>
            <w:r w:rsidRPr="002C1B07">
              <w:rPr>
                <w:rFonts w:ascii="Century Gothic" w:hAnsi="Century Gothic" w:cs="Times New Roman"/>
              </w:rPr>
              <w:t>etwork need and/or demand for provider type or specialty is defined by state adequacy requirements. Cigna contracts with practitioners and providers across all networks and for all product lines to meet the availability and cultural needs and preferences of customers, establishes availability standards and assesses its networks against those standards articulated in Cigna’s</w:t>
            </w:r>
            <w:r w:rsidRPr="002C1B07">
              <w:rPr>
                <w:rFonts w:ascii="Century Gothic" w:hAnsi="Century Gothic" w:cs="Times New Roman"/>
                <w:i/>
                <w:iCs/>
              </w:rPr>
              <w:t xml:space="preserve"> Measuring Availability of Practitioners and Providers Policy. </w:t>
            </w:r>
            <w:r w:rsidRPr="002C1B07">
              <w:rPr>
                <w:rFonts w:ascii="Century Gothic" w:hAnsi="Century Gothic" w:cs="Times New Roman"/>
              </w:rPr>
              <w:t xml:space="preserve">Need and/or demand for provider type and/or specialty are not weighted in relation to the other evidentiary standards for purposes of per diem reimbursement;  (5) </w:t>
            </w:r>
            <w:r w:rsidRPr="002C1B07">
              <w:rPr>
                <w:rFonts w:ascii="Century Gothic" w:hAnsi="Century Gothic" w:cs="Times New Roman"/>
                <w:bCs/>
              </w:rPr>
              <w:t xml:space="preserve">Training, </w:t>
            </w:r>
            <w:proofErr w:type="gramStart"/>
            <w:r w:rsidRPr="002C1B07">
              <w:rPr>
                <w:rFonts w:ascii="Century Gothic" w:hAnsi="Century Gothic" w:cs="Times New Roman"/>
                <w:bCs/>
              </w:rPr>
              <w:t>experience</w:t>
            </w:r>
            <w:proofErr w:type="gramEnd"/>
            <w:r w:rsidRPr="002C1B07">
              <w:rPr>
                <w:rFonts w:ascii="Century Gothic" w:hAnsi="Century Gothic" w:cs="Times New Roman"/>
                <w:bCs/>
              </w:rPr>
              <w:t xml:space="preserve"> and licensure of providers billing for professional services under the facility agreement. </w:t>
            </w:r>
            <w:r w:rsidRPr="002C1B07">
              <w:rPr>
                <w:rFonts w:ascii="Century Gothic" w:hAnsi="Century Gothic" w:cs="Times New Roman"/>
              </w:rPr>
              <w:t xml:space="preserve">Training, </w:t>
            </w:r>
            <w:proofErr w:type="gramStart"/>
            <w:r w:rsidRPr="002C1B07">
              <w:rPr>
                <w:rFonts w:ascii="Century Gothic" w:hAnsi="Century Gothic" w:cs="Times New Roman"/>
              </w:rPr>
              <w:t>experience</w:t>
            </w:r>
            <w:proofErr w:type="gramEnd"/>
            <w:r w:rsidRPr="002C1B07">
              <w:rPr>
                <w:rFonts w:ascii="Century Gothic" w:hAnsi="Century Gothic" w:cs="Times New Roman"/>
              </w:rPr>
              <w:t xml:space="preserve"> and licensure of providers billing for professional services under the facility agreement are not specifically weighted in relation to the other evidentiary standards for purposes of per diem reimbursement; (6) </w:t>
            </w:r>
            <w:r w:rsidRPr="002C1B07">
              <w:rPr>
                <w:rFonts w:ascii="Century Gothic" w:hAnsi="Century Gothic" w:cs="Times New Roman"/>
                <w:bCs/>
              </w:rPr>
              <w:t xml:space="preserve">Medicare reimbursement rates for codes with assigned Medicare Relative Value Unit (“RVU”). </w:t>
            </w:r>
            <w:r w:rsidRPr="002C1B07">
              <w:rPr>
                <w:rFonts w:ascii="Century Gothic" w:hAnsi="Century Gothic" w:cs="Times New Roman"/>
              </w:rPr>
              <w:t xml:space="preserve">RVUs are the basis of the RBRVS system. Unit values are assigned to each service (CPT code) by area of specialty and for some codes, different RVUs for site of service: facility and non-facility. RVUs are not weighted for per diem </w:t>
            </w:r>
            <w:proofErr w:type="gramStart"/>
            <w:r w:rsidRPr="002C1B07">
              <w:rPr>
                <w:rFonts w:ascii="Century Gothic" w:hAnsi="Century Gothic" w:cs="Times New Roman"/>
              </w:rPr>
              <w:t>reimbursement;</w:t>
            </w:r>
            <w:proofErr w:type="gramEnd"/>
            <w:r w:rsidRPr="002C1B07">
              <w:rPr>
                <w:rFonts w:ascii="Century Gothic" w:hAnsi="Century Gothic" w:cs="Times New Roman"/>
              </w:rPr>
              <w:t xml:space="preserve"> </w:t>
            </w:r>
          </w:p>
          <w:p w14:paraId="08DE4879"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Cigna utilizes the Medicare Pricing Tool to determine if the provider’s (current) rates are above the defined Medicare Baselines. The minimum standards are designated as a percentage of Medicare reimbursement, according to licensure and Medicare locality. Cigna uses standard Medicare Resource Based Relative Value Scale (“RBRVS”), a CMS created reimbursement methodology to reimburse providers for members covered under the Medicare program and as a baseline for commercial reimbursement rates. Cigna’s RBRVS methodology calculates the allowable fee for a covered service. Cigna RBRVS is set annually: </w:t>
            </w:r>
          </w:p>
          <w:p w14:paraId="528EF39E" w14:textId="77777777" w:rsidR="002C1B07" w:rsidRPr="002C1B07" w:rsidRDefault="002C1B07" w:rsidP="002C1B07">
            <w:pPr>
              <w:rPr>
                <w:rFonts w:ascii="Century Gothic" w:hAnsi="Century Gothic" w:cs="Times New Roman"/>
              </w:rPr>
            </w:pPr>
            <w:r w:rsidRPr="002C1B07">
              <w:rPr>
                <w:rFonts w:ascii="Century Gothic" w:hAnsi="Century Gothic" w:cs="Times New Roman"/>
              </w:rPr>
              <w:t>[(Work RVU x Work GPCI) + (Practice RVU x Practice GPCI) +</w:t>
            </w:r>
          </w:p>
          <w:p w14:paraId="5124CDF0" w14:textId="77777777" w:rsidR="002C1B07" w:rsidRPr="002C1B07" w:rsidRDefault="002C1B07" w:rsidP="002C1B07">
            <w:pPr>
              <w:rPr>
                <w:rFonts w:ascii="Century Gothic" w:hAnsi="Century Gothic" w:cs="Times New Roman"/>
              </w:rPr>
            </w:pPr>
            <w:r w:rsidRPr="002C1B07">
              <w:rPr>
                <w:rFonts w:ascii="Century Gothic" w:hAnsi="Century Gothic" w:cs="Times New Roman"/>
              </w:rPr>
              <w:t>(Malpractice RVU x Malpractice GPCI)] x Conversion Factor = Reimbursement</w:t>
            </w:r>
          </w:p>
          <w:p w14:paraId="0BFD4C5A" w14:textId="77777777" w:rsidR="002C1B07" w:rsidRPr="002C1B07" w:rsidRDefault="002C1B07" w:rsidP="002C1B07">
            <w:pPr>
              <w:rPr>
                <w:rFonts w:ascii="Century Gothic" w:hAnsi="Century Gothic" w:cs="Times New Roman"/>
              </w:rPr>
            </w:pPr>
            <w:r w:rsidRPr="002C1B07">
              <w:rPr>
                <w:rFonts w:ascii="Century Gothic" w:hAnsi="Century Gothic" w:cs="Times New Roman"/>
              </w:rPr>
              <w:t>RVUs are the basis of the RBRVS system. Unit values are assigned to each service (CPT code) by area of specialty and for some codes, different RVUs for site of service: facility and non-facility. Three components are used to make up a total RVU  (1) Physician’s work – This component accounts for the providers time, technical skill, mental effort, and physiological stress; (2) Practice expense – This component includes office rent, wages, supplies, equipment; (3) Malpractice Expense - This component includes professional liability insurance cost. To fill gaps for codes not covered by RBRVS methodology Cigna uses relative values assigned by Optum (</w:t>
            </w:r>
            <w:proofErr w:type="spellStart"/>
            <w:r w:rsidRPr="002C1B07">
              <w:rPr>
                <w:rFonts w:ascii="Century Gothic" w:hAnsi="Century Gothic" w:cs="Times New Roman"/>
              </w:rPr>
              <w:t>Ingenix</w:t>
            </w:r>
            <w:proofErr w:type="spellEnd"/>
            <w:r w:rsidRPr="002C1B07">
              <w:rPr>
                <w:rFonts w:ascii="Century Gothic" w:hAnsi="Century Gothic" w:cs="Times New Roman"/>
              </w:rPr>
              <w:t>) for M/S services. Optum (</w:t>
            </w:r>
            <w:proofErr w:type="spellStart"/>
            <w:r w:rsidRPr="002C1B07">
              <w:rPr>
                <w:rFonts w:ascii="Century Gothic" w:hAnsi="Century Gothic" w:cs="Times New Roman"/>
              </w:rPr>
              <w:t>Ingenix</w:t>
            </w:r>
            <w:proofErr w:type="spellEnd"/>
            <w:r w:rsidRPr="002C1B07">
              <w:rPr>
                <w:rFonts w:ascii="Century Gothic" w:hAnsi="Century Gothic" w:cs="Times New Roman"/>
              </w:rPr>
              <w:t xml:space="preserve">), is a </w:t>
            </w:r>
            <w:proofErr w:type="gramStart"/>
            <w:r w:rsidRPr="002C1B07">
              <w:rPr>
                <w:rFonts w:ascii="Century Gothic" w:hAnsi="Century Gothic" w:cs="Times New Roman"/>
              </w:rPr>
              <w:t>third party</w:t>
            </w:r>
            <w:proofErr w:type="gramEnd"/>
            <w:r w:rsidRPr="002C1B07">
              <w:rPr>
                <w:rFonts w:ascii="Century Gothic" w:hAnsi="Century Gothic" w:cs="Times New Roman"/>
              </w:rPr>
              <w:t xml:space="preserve"> health data company, that uses the same methodology originally used to develop the values for Medicare covered services. For those services that cannot be valued using a resource- based methodology, values have been developed using alternative methodologies proprietary to Optum (</w:t>
            </w:r>
            <w:proofErr w:type="spellStart"/>
            <w:r w:rsidRPr="002C1B07">
              <w:rPr>
                <w:rFonts w:ascii="Century Gothic" w:hAnsi="Century Gothic" w:cs="Times New Roman"/>
              </w:rPr>
              <w:t>Ingenix</w:t>
            </w:r>
            <w:proofErr w:type="spellEnd"/>
            <w:r w:rsidRPr="002C1B07">
              <w:rPr>
                <w:rFonts w:ascii="Century Gothic" w:hAnsi="Century Gothic" w:cs="Times New Roman"/>
              </w:rPr>
              <w:t>). In an RBRVS calculation, each component of an RVU is multiplied by its GPCI then totaled and multiplied by the conversion factor to determine the fee or payment. Cigna uses the same GPCIs as Medicare. There are approximately 89 GPCIs. Cigna uses Optum (</w:t>
            </w:r>
            <w:proofErr w:type="spellStart"/>
            <w:r w:rsidRPr="002C1B07">
              <w:rPr>
                <w:rFonts w:ascii="Century Gothic" w:hAnsi="Century Gothic" w:cs="Times New Roman"/>
              </w:rPr>
              <w:t>Ingenix</w:t>
            </w:r>
            <w:proofErr w:type="spellEnd"/>
            <w:r w:rsidRPr="002C1B07">
              <w:rPr>
                <w:rFonts w:ascii="Century Gothic" w:hAnsi="Century Gothic" w:cs="Times New Roman"/>
              </w:rPr>
              <w:t>) values to fill gaps for codes not covered by RBRVS methodology.</w:t>
            </w:r>
          </w:p>
          <w:p w14:paraId="0F66DC36"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Facility rate categories are industry standard with the market and economy dictating rates for both M/S and MH/SUD facilities. Cigna utilizes Medicare’s resource-based relative value scale (RBRVS) calculation (OP- BH &amp; Med). This calculation is premised on the principle that payments for services should vary with the resource cost for providing the services. In each instance, the fee schedule is separately reviewed and negotiated. </w:t>
            </w:r>
          </w:p>
          <w:p w14:paraId="31F7DC06" w14:textId="01B290D4" w:rsidR="002C1B07" w:rsidRPr="002C1B07" w:rsidRDefault="002C1B07" w:rsidP="002C1B07">
            <w:pPr>
              <w:rPr>
                <w:rFonts w:ascii="Century Gothic" w:hAnsi="Century Gothic" w:cs="Times New Roman"/>
              </w:rPr>
            </w:pPr>
            <w:r w:rsidRPr="002C1B07">
              <w:rPr>
                <w:rFonts w:ascii="Century Gothic" w:hAnsi="Century Gothic" w:cs="Times New Roman"/>
              </w:rPr>
              <w:t>For DRG reimbursement, weighting is not calculated within the contract or at the time of contract rate negotiation, but instead occurs at the time of payment as DRG reimbursement is dependent on a variety of variable factors such as patient age and diagnosis. When behavioral contracts at a per diem rate, the population and type of care are distinguished in the contract and rates are negotiated separately. Cigna utilizes CMS grouping software (Optum) that takes the information from the claim and “groups it” into the correct DRG. Then that DRG information is used to calculate the reimbursement, based on the factor in the contract; by way of example: DRG 203 has a factor 17; CMS DRG weight x contracted factor = reimbursement.</w:t>
            </w:r>
          </w:p>
        </w:tc>
        <w:tc>
          <w:tcPr>
            <w:tcW w:w="2524" w:type="pct"/>
            <w:tcBorders>
              <w:top w:val="single" w:sz="4" w:space="0" w:color="auto"/>
              <w:left w:val="single" w:sz="4" w:space="0" w:color="auto"/>
              <w:bottom w:val="single" w:sz="4" w:space="0" w:color="auto"/>
              <w:right w:val="single" w:sz="4" w:space="0" w:color="auto"/>
            </w:tcBorders>
          </w:tcPr>
          <w:p w14:paraId="0CC0A3EE" w14:textId="77777777" w:rsidR="002C1B07" w:rsidRPr="002C1B07" w:rsidRDefault="002C1B07" w:rsidP="002C1B07">
            <w:pPr>
              <w:rPr>
                <w:rFonts w:ascii="Century Gothic" w:hAnsi="Century Gothic" w:cs="Times New Roman"/>
                <w:b/>
              </w:rPr>
            </w:pPr>
            <w:r w:rsidRPr="002C1B07">
              <w:rPr>
                <w:rFonts w:ascii="Century Gothic" w:hAnsi="Century Gothic" w:cs="Times New Roman"/>
                <w:b/>
              </w:rPr>
              <w:t>Reimbursement:</w:t>
            </w:r>
          </w:p>
          <w:p w14:paraId="555D9B74" w14:textId="77777777" w:rsidR="002C1B07" w:rsidRPr="002C1B07" w:rsidRDefault="002C1B07" w:rsidP="002C1B07">
            <w:pPr>
              <w:rPr>
                <w:rFonts w:ascii="Century Gothic" w:hAnsi="Century Gothic" w:cs="Times New Roman"/>
                <w:b/>
              </w:rPr>
            </w:pPr>
          </w:p>
          <w:p w14:paraId="0321A19D" w14:textId="77777777" w:rsidR="002C1B07" w:rsidRPr="002C1B07" w:rsidRDefault="002C1B07" w:rsidP="002C1B07">
            <w:pPr>
              <w:rPr>
                <w:rFonts w:ascii="Century Gothic" w:hAnsi="Century Gothic" w:cs="Times New Roman"/>
                <w:b/>
              </w:rPr>
            </w:pPr>
          </w:p>
        </w:tc>
      </w:tr>
      <w:tr w:rsidR="002C1B07" w:rsidRPr="002C1B07" w14:paraId="25744E0E" w14:textId="77777777" w:rsidTr="002C1B07">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BEBE" w14:textId="77777777" w:rsidR="002C1B07" w:rsidRPr="002C1B07" w:rsidRDefault="002C1B07" w:rsidP="002C1B07">
            <w:pPr>
              <w:rPr>
                <w:rFonts w:ascii="Century Gothic" w:hAnsi="Century Gothic" w:cs="Times New Roman"/>
                <w:bCs/>
              </w:rPr>
            </w:pPr>
            <w:r w:rsidRPr="002C1B07">
              <w:rPr>
                <w:rFonts w:ascii="Century Gothic" w:hAnsi="Century Gothic" w:cs="Times New Roman"/>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67B24C59" w14:textId="77777777" w:rsidR="002C1B07" w:rsidRPr="002C1B07" w:rsidRDefault="002C1B07" w:rsidP="002C1B07">
            <w:pPr>
              <w:numPr>
                <w:ilvl w:val="0"/>
                <w:numId w:val="46"/>
              </w:numPr>
              <w:rPr>
                <w:rFonts w:ascii="Century Gothic" w:hAnsi="Century Gothic" w:cs="Times New Roman"/>
                <w:bCs/>
                <w:i/>
              </w:rPr>
            </w:pPr>
            <w:r w:rsidRPr="002C1B07">
              <w:rPr>
                <w:rFonts w:ascii="Century Gothic" w:hAnsi="Century Gothic" w:cs="Times New Roman"/>
                <w:bCs/>
                <w:i/>
              </w:rPr>
              <w:t>The analyses, as documented, should explain whether there is any variation in the application of a guideline or standard used by the plan or issuer between MH/SUD and medical/surgical benefits and, if so, describe the process and factors used for establishing that variation.</w:t>
            </w:r>
          </w:p>
          <w:p w14:paraId="3E27DD8E" w14:textId="77777777" w:rsidR="002C1B07" w:rsidRPr="002C1B07" w:rsidRDefault="002C1B07" w:rsidP="002C1B07">
            <w:pPr>
              <w:numPr>
                <w:ilvl w:val="0"/>
                <w:numId w:val="46"/>
              </w:numPr>
              <w:rPr>
                <w:rFonts w:ascii="Century Gothic" w:hAnsi="Century Gothic" w:cs="Times New Roman"/>
                <w:bCs/>
                <w:i/>
              </w:rPr>
            </w:pPr>
            <w:r w:rsidRPr="002C1B07">
              <w:rPr>
                <w:rFonts w:ascii="Century Gothic" w:hAnsi="Century Gothic" w:cs="Times New Roman"/>
                <w:bCs/>
                <w:i/>
              </w:rPr>
              <w:t>If the application of the NQTL turns on specific decisions in administration of the benefits, the plan or issuer should identify the nature of the decisions, the decision maker(s), the timing of the decisions, and the qualifications of the decision maker(s).</w:t>
            </w:r>
          </w:p>
          <w:p w14:paraId="1A6B67A8" w14:textId="77777777" w:rsidR="002C1B07" w:rsidRPr="002C1B07" w:rsidRDefault="002C1B07" w:rsidP="002C1B07">
            <w:pPr>
              <w:numPr>
                <w:ilvl w:val="0"/>
                <w:numId w:val="46"/>
              </w:numPr>
              <w:rPr>
                <w:rFonts w:ascii="Century Gothic" w:hAnsi="Century Gothic" w:cs="Times New Roman"/>
                <w:bCs/>
                <w:i/>
              </w:rPr>
            </w:pPr>
            <w:r w:rsidRPr="002C1B07">
              <w:rPr>
                <w:rFonts w:ascii="Century Gothic" w:hAnsi="Century Gothic" w:cs="Times New Roman"/>
                <w:bCs/>
                <w:i/>
              </w:rPr>
              <w:t xml:space="preserve">If the </w:t>
            </w:r>
            <w:proofErr w:type="gramStart"/>
            <w:r w:rsidRPr="002C1B07">
              <w:rPr>
                <w:rFonts w:ascii="Century Gothic" w:hAnsi="Century Gothic" w:cs="Times New Roman"/>
                <w:bCs/>
                <w:i/>
              </w:rPr>
              <w:t>plan’s</w:t>
            </w:r>
            <w:proofErr w:type="gramEnd"/>
            <w:r w:rsidRPr="002C1B07">
              <w:rPr>
                <w:rFonts w:ascii="Century Gothic" w:hAnsi="Century Gothic" w:cs="Times New Roman"/>
                <w:bCs/>
                <w:i/>
              </w:rPr>
              <w:t xml:space="preserve">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p>
        </w:tc>
      </w:tr>
      <w:tr w:rsidR="002C1B07" w:rsidRPr="002C1B07" w14:paraId="30B8EC1C" w14:textId="77777777" w:rsidTr="002C1B07">
        <w:trPr>
          <w:trHeight w:val="70"/>
        </w:trPr>
        <w:tc>
          <w:tcPr>
            <w:tcW w:w="247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E34780" w14:textId="77777777" w:rsidR="002C1B07" w:rsidRPr="002C1B07" w:rsidRDefault="002C1B07" w:rsidP="002C1B07">
            <w:pPr>
              <w:rPr>
                <w:rFonts w:ascii="Century Gothic" w:hAnsi="Century Gothic" w:cs="Times New Roman"/>
              </w:rPr>
            </w:pPr>
            <w:r w:rsidRPr="002C1B07">
              <w:rPr>
                <w:rFonts w:ascii="Century Gothic" w:hAnsi="Century Gothic" w:cs="Times New Roman"/>
                <w:b/>
              </w:rPr>
              <w:t>Medical/Surgical</w:t>
            </w:r>
            <w:r w:rsidRPr="002C1B07">
              <w:rPr>
                <w:rFonts w:ascii="Century Gothic" w:hAnsi="Century Gothic" w:cs="Times New Roman"/>
              </w:rPr>
              <w:t>:</w:t>
            </w:r>
          </w:p>
        </w:tc>
        <w:tc>
          <w:tcPr>
            <w:tcW w:w="252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3AE03B" w14:textId="77777777" w:rsidR="002C1B07" w:rsidRPr="002C1B07" w:rsidRDefault="002C1B07" w:rsidP="002C1B07">
            <w:pPr>
              <w:rPr>
                <w:rFonts w:ascii="Century Gothic" w:hAnsi="Century Gothic" w:cs="Times New Roman"/>
              </w:rPr>
            </w:pPr>
            <w:r w:rsidRPr="002C1B07">
              <w:rPr>
                <w:rFonts w:ascii="Century Gothic" w:hAnsi="Century Gothic" w:cs="Times New Roman"/>
                <w:b/>
              </w:rPr>
              <w:t>MH/SUD</w:t>
            </w:r>
            <w:r w:rsidRPr="002C1B07">
              <w:rPr>
                <w:rFonts w:ascii="Century Gothic" w:hAnsi="Century Gothic" w:cs="Times New Roman"/>
              </w:rPr>
              <w:t>:</w:t>
            </w:r>
          </w:p>
        </w:tc>
      </w:tr>
      <w:tr w:rsidR="002C1B07" w:rsidRPr="002C1B07" w14:paraId="617D4BD3" w14:textId="77777777" w:rsidTr="002C1B07">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FDD66" w14:textId="3A6AD8E7" w:rsidR="002C1B07" w:rsidRPr="002C1B07" w:rsidRDefault="002C1B07" w:rsidP="002C1B07">
            <w:pPr>
              <w:rPr>
                <w:rFonts w:ascii="Century Gothic" w:hAnsi="Century Gothic" w:cs="Times New Roman"/>
                <w:b/>
              </w:rPr>
            </w:pPr>
            <w:r w:rsidRPr="002C1B07">
              <w:rPr>
                <w:rFonts w:ascii="Century Gothic" w:hAnsi="Century Gothic" w:cs="Times New Roman"/>
                <w:b/>
                <w:u w:val="single"/>
              </w:rPr>
              <w:t>In writing Analysis</w:t>
            </w:r>
            <w:r w:rsidRPr="002C1B07">
              <w:rPr>
                <w:rFonts w:ascii="Century Gothic" w:hAnsi="Century Gothic" w:cs="Times New Roman"/>
                <w:b/>
              </w:rPr>
              <w:t xml:space="preserve">: </w:t>
            </w:r>
          </w:p>
        </w:tc>
      </w:tr>
      <w:tr w:rsidR="002C1B07" w:rsidRPr="002C1B07" w14:paraId="03716FD9" w14:textId="77777777" w:rsidTr="002C1B07">
        <w:trPr>
          <w:trHeight w:val="1070"/>
        </w:trPr>
        <w:tc>
          <w:tcPr>
            <w:tcW w:w="2476" w:type="pct"/>
            <w:tcBorders>
              <w:top w:val="single" w:sz="4" w:space="0" w:color="auto"/>
              <w:left w:val="single" w:sz="4" w:space="0" w:color="auto"/>
              <w:bottom w:val="single" w:sz="4" w:space="0" w:color="auto"/>
              <w:right w:val="single" w:sz="4" w:space="0" w:color="auto"/>
            </w:tcBorders>
          </w:tcPr>
          <w:p w14:paraId="151859DC" w14:textId="300FDF20" w:rsidR="002C1B07" w:rsidRPr="002C1B07" w:rsidRDefault="002C1B07" w:rsidP="002C1B07">
            <w:pPr>
              <w:rPr>
                <w:rFonts w:ascii="Century Gothic" w:hAnsi="Century Gothic" w:cs="Times New Roman"/>
              </w:rPr>
            </w:pPr>
            <w:r w:rsidRPr="002C1B07">
              <w:rPr>
                <w:rFonts w:ascii="Century Gothic" w:hAnsi="Century Gothic" w:cs="Times New Roman"/>
                <w:b/>
                <w:bCs/>
              </w:rPr>
              <w:t xml:space="preserve">Network Adequacy: </w:t>
            </w:r>
          </w:p>
          <w:p w14:paraId="3529E0BC" w14:textId="6BEFAADC" w:rsidR="002C1B07" w:rsidRPr="002C1B07" w:rsidRDefault="002C1B07" w:rsidP="002C1B07">
            <w:pPr>
              <w:rPr>
                <w:rFonts w:ascii="Century Gothic" w:hAnsi="Century Gothic" w:cs="Times New Roman"/>
              </w:rPr>
            </w:pPr>
            <w:r w:rsidRPr="002C1B07">
              <w:rPr>
                <w:rFonts w:ascii="Century Gothic" w:hAnsi="Century Gothic" w:cs="Times New Roman"/>
              </w:rPr>
              <w:t xml:space="preserve">Both MH/SUD and M/S negotiations are based upon provider and information availability at a single point </w:t>
            </w:r>
            <w:proofErr w:type="gramStart"/>
            <w:r w:rsidRPr="002C1B07">
              <w:rPr>
                <w:rFonts w:ascii="Century Gothic" w:hAnsi="Century Gothic" w:cs="Times New Roman"/>
              </w:rPr>
              <w:t>in-time</w:t>
            </w:r>
            <w:proofErr w:type="gramEnd"/>
            <w:r w:rsidRPr="002C1B07">
              <w:rPr>
                <w:rFonts w:ascii="Century Gothic" w:hAnsi="Century Gothic" w:cs="Times New Roman"/>
              </w:rPr>
              <w:t>. Network adequacy standards (Network Need) is a contributing factor for both MH/SUD and M/S providers during a reimbursement negotiation.  It is important to note that different providers and facilities have vastly different negotiating or so-called bargaining power. A provider’s bargaining power depends on several factors of which cannot simply be reduced to supply and demand including the provider’s size (e.g., a large statewide or national hospital system vs. an individual solo practitioner); the scarcity or the “supply” of that provider type or specialty; and the reputation, name recognition, and/or quality of the provider.</w:t>
            </w:r>
          </w:p>
          <w:p w14:paraId="54A5E659" w14:textId="051D4428" w:rsidR="002C1B07" w:rsidRPr="002C1B07" w:rsidRDefault="002C1B07" w:rsidP="002C1B07">
            <w:pPr>
              <w:rPr>
                <w:rFonts w:ascii="Century Gothic" w:hAnsi="Century Gothic" w:cs="Times New Roman"/>
              </w:rPr>
            </w:pPr>
            <w:r w:rsidRPr="002C1B07">
              <w:rPr>
                <w:rFonts w:ascii="Century Gothic" w:hAnsi="Century Gothic" w:cs="Times New Roman"/>
              </w:rPr>
              <w:t xml:space="preserve">As expected, providers and facilities that for a variety of reasons have more bargaining power </w:t>
            </w:r>
            <w:proofErr w:type="gramStart"/>
            <w:r w:rsidRPr="002C1B07">
              <w:rPr>
                <w:rFonts w:ascii="Century Gothic" w:hAnsi="Century Gothic" w:cs="Times New Roman"/>
              </w:rPr>
              <w:t>are able to</w:t>
            </w:r>
            <w:proofErr w:type="gramEnd"/>
            <w:r w:rsidRPr="002C1B07">
              <w:rPr>
                <w:rFonts w:ascii="Century Gothic" w:hAnsi="Century Gothic" w:cs="Times New Roman"/>
              </w:rPr>
              <w:t xml:space="preserve"> negotiate higher reimbursement. Cigna measures accessibility of care to behavioral (prescriber and non-prescriber), PCP, and High- Impact/High-Volume SPC providers using findings from customer surveys and complaints, and by measuring results against the accessibility standards and metrics annually. Cigna uses the continuous quality improvement (“CQI”) process to identify opportunities for improvement and when network adequacy gaps are identified and brought to the attention of the Behavioral Health Provider Operations Program Management Team (for either provider or facility). That team </w:t>
            </w:r>
            <w:proofErr w:type="gramStart"/>
            <w:r w:rsidRPr="002C1B07">
              <w:rPr>
                <w:rFonts w:ascii="Century Gothic" w:hAnsi="Century Gothic" w:cs="Times New Roman"/>
              </w:rPr>
              <w:t>researches</w:t>
            </w:r>
            <w:proofErr w:type="gramEnd"/>
            <w:r w:rsidRPr="002C1B07">
              <w:rPr>
                <w:rFonts w:ascii="Century Gothic" w:hAnsi="Century Gothic" w:cs="Times New Roman"/>
              </w:rPr>
              <w:t xml:space="preserve"> available providers and prioritizes recruitment efforts.  The recruitment timeline is as fol</w:t>
            </w:r>
            <w:r>
              <w:rPr>
                <w:rFonts w:ascii="Century Gothic" w:hAnsi="Century Gothic" w:cs="Times New Roman"/>
              </w:rPr>
              <w:t>l</w:t>
            </w:r>
            <w:r w:rsidRPr="002C1B07">
              <w:rPr>
                <w:rFonts w:ascii="Century Gothic" w:hAnsi="Century Gothic" w:cs="Times New Roman"/>
              </w:rPr>
              <w:t>ows:</w:t>
            </w:r>
          </w:p>
          <w:p w14:paraId="7B82C523"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If Cigna identifies a network adequacy deficiency, it attempts to remediate the deficiency.  The identified potential provider may decline participation in the network or may not respond to recruitment efforts. If Cigna identifies a non-contracted provider needed for adequacy/accessibility, it may offer higher rates than what would otherwise be standard </w:t>
            </w:r>
            <w:proofErr w:type="gramStart"/>
            <w:r w:rsidRPr="002C1B07">
              <w:rPr>
                <w:rFonts w:ascii="Century Gothic" w:hAnsi="Century Gothic" w:cs="Times New Roman"/>
              </w:rPr>
              <w:t>in order to</w:t>
            </w:r>
            <w:proofErr w:type="gramEnd"/>
            <w:r w:rsidRPr="002C1B07">
              <w:rPr>
                <w:rFonts w:ascii="Century Gothic" w:hAnsi="Century Gothic" w:cs="Times New Roman"/>
              </w:rPr>
              <w:t xml:space="preserve"> close the gap.  NCQA does not prescribe goals for geo access. Cigna uses a 90% standard, which aligns with CMS network adequacy requirements, which </w:t>
            </w:r>
            <w:proofErr w:type="gramStart"/>
            <w:r w:rsidRPr="002C1B07">
              <w:rPr>
                <w:rFonts w:ascii="Century Gothic" w:hAnsi="Century Gothic" w:cs="Times New Roman"/>
              </w:rPr>
              <w:t>require</w:t>
            </w:r>
            <w:proofErr w:type="gramEnd"/>
            <w:r w:rsidRPr="002C1B07">
              <w:rPr>
                <w:rFonts w:ascii="Century Gothic" w:hAnsi="Century Gothic" w:cs="Times New Roman"/>
              </w:rPr>
              <w:t xml:space="preserve"> that 90% of customers have access to providers based on network adequacy access requirements for time and distance standards. </w:t>
            </w:r>
          </w:p>
          <w:p w14:paraId="62C9EBD3" w14:textId="15354C96" w:rsidR="002C1B07" w:rsidRPr="002C1B07" w:rsidRDefault="002C1B07" w:rsidP="002C1B07">
            <w:pPr>
              <w:rPr>
                <w:rFonts w:ascii="Century Gothic" w:hAnsi="Century Gothic" w:cs="Times New Roman"/>
              </w:rPr>
            </w:pPr>
            <w:r w:rsidRPr="002C1B07">
              <w:rPr>
                <w:rFonts w:ascii="Century Gothic" w:hAnsi="Century Gothic" w:cs="Times New Roman"/>
              </w:rPr>
              <w:t xml:space="preserve">Cigna monitors network adequacy on at least an annual basis and creates recruitment and corrective action plans to address any deficiencies. In many instances, deficiencies are a result of insufficient availability of providers/facilities. Both MH/SUD and M/S networks are held to the same 90% standard. In most instances inability to meet the 90% threshold is related to insufficient provider availability. Lack of providers/facilities tends to impact behavioral more than medical. Cigna actively recruits providers in areas where there may be access deficiencies. In some cases, not enough providers exist </w:t>
            </w:r>
            <w:proofErr w:type="gramStart"/>
            <w:r w:rsidRPr="002C1B07">
              <w:rPr>
                <w:rFonts w:ascii="Century Gothic" w:hAnsi="Century Gothic" w:cs="Times New Roman"/>
              </w:rPr>
              <w:t>in a given</w:t>
            </w:r>
            <w:proofErr w:type="gramEnd"/>
            <w:r w:rsidRPr="002C1B07">
              <w:rPr>
                <w:rFonts w:ascii="Century Gothic" w:hAnsi="Century Gothic" w:cs="Times New Roman"/>
              </w:rPr>
              <w:t xml:space="preserve"> geographic area and thus Cigna cannot meet a network adequacy standard due to provider unavailability. In such situations, Cigna takes steps to ensure that an enrollee in a plan using this network would be able to receive medically necessary services from an out of network provider, and the services would be treated as in-network for purposes of cost-sharing or other requirements.</w:t>
            </w:r>
          </w:p>
        </w:tc>
        <w:tc>
          <w:tcPr>
            <w:tcW w:w="2524" w:type="pct"/>
            <w:tcBorders>
              <w:top w:val="single" w:sz="4" w:space="0" w:color="auto"/>
              <w:left w:val="single" w:sz="4" w:space="0" w:color="auto"/>
              <w:bottom w:val="single" w:sz="4" w:space="0" w:color="auto"/>
              <w:right w:val="single" w:sz="4" w:space="0" w:color="auto"/>
            </w:tcBorders>
          </w:tcPr>
          <w:p w14:paraId="7768F23D" w14:textId="77777777" w:rsidR="002C1B07" w:rsidRPr="002C1B07" w:rsidRDefault="002C1B07" w:rsidP="002C1B07">
            <w:pPr>
              <w:rPr>
                <w:rFonts w:ascii="Century Gothic" w:hAnsi="Century Gothic" w:cs="Times New Roman"/>
              </w:rPr>
            </w:pPr>
            <w:r w:rsidRPr="002C1B07">
              <w:rPr>
                <w:rFonts w:ascii="Century Gothic" w:hAnsi="Century Gothic" w:cs="Times New Roman"/>
                <w:b/>
                <w:bCs/>
              </w:rPr>
              <w:t xml:space="preserve">Network Adequacy: </w:t>
            </w:r>
          </w:p>
          <w:p w14:paraId="10220047" w14:textId="77777777" w:rsidR="002C1B07" w:rsidRPr="002C1B07" w:rsidRDefault="002C1B07" w:rsidP="002C1B07">
            <w:pPr>
              <w:rPr>
                <w:rFonts w:ascii="Century Gothic" w:hAnsi="Century Gothic" w:cs="Times New Roman"/>
                <w:b/>
                <w:bCs/>
              </w:rPr>
            </w:pPr>
          </w:p>
        </w:tc>
      </w:tr>
      <w:tr w:rsidR="002C1B07" w:rsidRPr="002C1B07" w14:paraId="77C02FD7" w14:textId="77777777" w:rsidTr="002C1B07">
        <w:trPr>
          <w:trHeight w:val="1070"/>
        </w:trPr>
        <w:tc>
          <w:tcPr>
            <w:tcW w:w="2476" w:type="pct"/>
            <w:tcBorders>
              <w:top w:val="single" w:sz="4" w:space="0" w:color="auto"/>
              <w:left w:val="single" w:sz="4" w:space="0" w:color="auto"/>
              <w:bottom w:val="single" w:sz="4" w:space="0" w:color="auto"/>
              <w:right w:val="single" w:sz="4" w:space="0" w:color="auto"/>
            </w:tcBorders>
          </w:tcPr>
          <w:p w14:paraId="76F2AF2F" w14:textId="38C7DF8C" w:rsidR="002C1B07" w:rsidRPr="002C1B07" w:rsidRDefault="002C1B07" w:rsidP="002C1B07">
            <w:pPr>
              <w:rPr>
                <w:rFonts w:ascii="Century Gothic" w:hAnsi="Century Gothic" w:cs="Times New Roman"/>
                <w:b/>
                <w:bCs/>
              </w:rPr>
            </w:pPr>
            <w:r w:rsidRPr="002C1B07">
              <w:rPr>
                <w:rFonts w:ascii="Century Gothic" w:hAnsi="Century Gothic" w:cs="Times New Roman"/>
                <w:b/>
                <w:bCs/>
              </w:rPr>
              <w:t xml:space="preserve">Credentialing: </w:t>
            </w:r>
          </w:p>
          <w:p w14:paraId="0B2D4210" w14:textId="66D7DB85" w:rsidR="002C1B07" w:rsidRPr="002C1B07" w:rsidRDefault="002C1B07" w:rsidP="002C1B07">
            <w:pPr>
              <w:rPr>
                <w:rFonts w:ascii="Century Gothic" w:hAnsi="Century Gothic" w:cs="Times New Roman"/>
              </w:rPr>
            </w:pPr>
            <w:r w:rsidRPr="002C1B07">
              <w:rPr>
                <w:rFonts w:ascii="Century Gothic" w:hAnsi="Century Gothic" w:cs="Times New Roman"/>
              </w:rPr>
              <w:t xml:space="preserve">Cigna's methodology for credentialing for M/S and MH/SUD physician providers are the same. Cigna credentialing standards for licensed physicians </w:t>
            </w:r>
            <w:proofErr w:type="gramStart"/>
            <w:r w:rsidRPr="002C1B07">
              <w:rPr>
                <w:rFonts w:ascii="Century Gothic" w:hAnsi="Century Gothic" w:cs="Times New Roman"/>
              </w:rPr>
              <w:t>follows</w:t>
            </w:r>
            <w:proofErr w:type="gramEnd"/>
            <w:r w:rsidRPr="002C1B07">
              <w:rPr>
                <w:rFonts w:ascii="Century Gothic" w:hAnsi="Century Gothic" w:cs="Times New Roman"/>
              </w:rPr>
              <w:t xml:space="preserve"> NCQA, CMS, state and federal requirements and guidelines for each provider and/or specialty type. Cigna does not maintain separate standards for MH/SUD providers. Moreover, the standard credentialing process is used for both licensed physician providers and licensed non-physician providers, whether they are M/S or MH/SUD providers.  Re-credentialing is required every three years for all providers, and except for work history and education and training verification,  requires providers to meet the same criteria as the initial credentialing process, unless a new specialty is being requested. </w:t>
            </w:r>
          </w:p>
          <w:p w14:paraId="624C2532"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The credentialing application process is consistent between physicians and facilities providing M/S and MH/SUD services and the required licensing, experience, CAQH application and verifications are indistinguishable. No additional Cigna-specific credentialing requirements are applied to either M/S or MH/SUD physician providers, and, as relevant for certain MH/SUD services or specialties, Cigna does not require that MH/SUD practitioners or facilities be licensed or accredited if such a license or accreditation would not be required by state law.  Consistency in credentialing standards and process </w:t>
            </w:r>
            <w:proofErr w:type="gramStart"/>
            <w:r w:rsidRPr="002C1B07">
              <w:rPr>
                <w:rFonts w:ascii="Century Gothic" w:hAnsi="Century Gothic" w:cs="Times New Roman"/>
              </w:rPr>
              <w:t>evidences</w:t>
            </w:r>
            <w:proofErr w:type="gramEnd"/>
            <w:r w:rsidRPr="002C1B07">
              <w:rPr>
                <w:rFonts w:ascii="Century Gothic" w:hAnsi="Century Gothic" w:cs="Times New Roman"/>
              </w:rPr>
              <w:t xml:space="preserve"> compliance with the NQTL in-writing requirement.</w:t>
            </w:r>
          </w:p>
        </w:tc>
        <w:tc>
          <w:tcPr>
            <w:tcW w:w="2524" w:type="pct"/>
            <w:tcBorders>
              <w:top w:val="single" w:sz="4" w:space="0" w:color="auto"/>
              <w:left w:val="single" w:sz="4" w:space="0" w:color="auto"/>
              <w:bottom w:val="single" w:sz="4" w:space="0" w:color="auto"/>
              <w:right w:val="single" w:sz="4" w:space="0" w:color="auto"/>
            </w:tcBorders>
            <w:hideMark/>
          </w:tcPr>
          <w:p w14:paraId="1E3BD0A6" w14:textId="77777777" w:rsidR="002C1B07" w:rsidRPr="002C1B07" w:rsidRDefault="002C1B07" w:rsidP="002C1B07">
            <w:pPr>
              <w:rPr>
                <w:rFonts w:ascii="Century Gothic" w:hAnsi="Century Gothic" w:cs="Times New Roman"/>
              </w:rPr>
            </w:pPr>
            <w:r w:rsidRPr="002C1B07">
              <w:rPr>
                <w:rFonts w:ascii="Century Gothic" w:hAnsi="Century Gothic" w:cs="Times New Roman"/>
                <w:b/>
                <w:bCs/>
              </w:rPr>
              <w:t xml:space="preserve">Credentialing: </w:t>
            </w:r>
          </w:p>
        </w:tc>
      </w:tr>
      <w:tr w:rsidR="002C1B07" w:rsidRPr="002C1B07" w14:paraId="393B17A5" w14:textId="77777777" w:rsidTr="002C1B07">
        <w:trPr>
          <w:trHeight w:val="82"/>
        </w:trPr>
        <w:tc>
          <w:tcPr>
            <w:tcW w:w="2476" w:type="pct"/>
            <w:tcBorders>
              <w:top w:val="single" w:sz="4" w:space="0" w:color="auto"/>
              <w:left w:val="single" w:sz="4" w:space="0" w:color="auto"/>
              <w:bottom w:val="single" w:sz="4" w:space="0" w:color="auto"/>
              <w:right w:val="single" w:sz="4" w:space="0" w:color="auto"/>
            </w:tcBorders>
          </w:tcPr>
          <w:p w14:paraId="2A9BE561" w14:textId="020D591C" w:rsidR="002C1B07" w:rsidRPr="002C1B07" w:rsidRDefault="002C1B07" w:rsidP="002C1B07">
            <w:pPr>
              <w:rPr>
                <w:rFonts w:ascii="Century Gothic" w:hAnsi="Century Gothic" w:cs="Times New Roman"/>
                <w:b/>
              </w:rPr>
            </w:pPr>
            <w:r w:rsidRPr="002C1B07">
              <w:rPr>
                <w:rFonts w:ascii="Century Gothic" w:hAnsi="Century Gothic" w:cs="Times New Roman"/>
                <w:b/>
              </w:rPr>
              <w:t>Provider Reimbursement</w:t>
            </w:r>
          </w:p>
          <w:p w14:paraId="6904D947" w14:textId="552027D7" w:rsidR="002C1B07" w:rsidRPr="002C1B07" w:rsidRDefault="002C1B07" w:rsidP="002C1B07">
            <w:pPr>
              <w:rPr>
                <w:rFonts w:ascii="Century Gothic" w:hAnsi="Century Gothic" w:cs="Times New Roman"/>
              </w:rPr>
            </w:pPr>
            <w:r w:rsidRPr="002C1B07">
              <w:rPr>
                <w:rFonts w:ascii="Century Gothic" w:hAnsi="Century Gothic" w:cs="Times New Roman"/>
              </w:rPr>
              <w:t xml:space="preserve">Whether for initial negotiation or renegotiation, Cigna uses its standard in-network provider reimbursement methodology for MH/SUD and M/S providers. Network adequacy deficiencies (Network Need) </w:t>
            </w:r>
            <w:proofErr w:type="gramStart"/>
            <w:r w:rsidRPr="002C1B07">
              <w:rPr>
                <w:rFonts w:ascii="Century Gothic" w:hAnsi="Century Gothic" w:cs="Times New Roman"/>
              </w:rPr>
              <w:t>is</w:t>
            </w:r>
            <w:proofErr w:type="gramEnd"/>
            <w:r w:rsidRPr="002C1B07">
              <w:rPr>
                <w:rFonts w:ascii="Century Gothic" w:hAnsi="Century Gothic" w:cs="Times New Roman"/>
              </w:rPr>
              <w:t xml:space="preserve"> always considered when negotiating reimbursement rates. Standard reimbursement rates for inpatient and outpatient services for both M/S and MH/SUD providers are set based upon standard fee schedules, which are developed for facilities, physicians and non-physicians by state or region and reflect geographic variations within that state or region.  Provider-specific fee schedules are developed based upon the professional or facility’s negotiation request or business need, including the satisfaction of network adequacy requirements. Cigna's preferred standard is to reimburse the same rates across all plans/products. M/S contracts have the option to pay plans differently, while BH pays the same for all plans. This approach provides more favorable rates for MH/SUD providers. For example, BH pays the same rate for a Medicare provider as it does for a commercial provider. Rates may be negotiated differently depending upon </w:t>
            </w:r>
            <w:proofErr w:type="gramStart"/>
            <w:r w:rsidRPr="002C1B07">
              <w:rPr>
                <w:rFonts w:ascii="Century Gothic" w:hAnsi="Century Gothic" w:cs="Times New Roman"/>
              </w:rPr>
              <w:t>plan</w:t>
            </w:r>
            <w:proofErr w:type="gramEnd"/>
            <w:r w:rsidRPr="002C1B07">
              <w:rPr>
                <w:rFonts w:ascii="Century Gothic" w:hAnsi="Century Gothic" w:cs="Times New Roman"/>
              </w:rPr>
              <w:t xml:space="preserve"> if requested.</w:t>
            </w:r>
          </w:p>
          <w:p w14:paraId="603EB703" w14:textId="4DA54470" w:rsidR="002C1B07" w:rsidRPr="002C1B07" w:rsidRDefault="002C1B07" w:rsidP="002C1B07">
            <w:pPr>
              <w:rPr>
                <w:rFonts w:ascii="Century Gothic" w:hAnsi="Century Gothic" w:cs="Times New Roman"/>
              </w:rPr>
            </w:pPr>
            <w:r w:rsidRPr="002C1B07">
              <w:rPr>
                <w:rFonts w:ascii="Century Gothic" w:hAnsi="Century Gothic" w:cs="Times New Roman"/>
              </w:rPr>
              <w:t>In determining any rate in both the M/S and MH/SUD facility agreements, Cigna assesses supply and demand of provider types and/or specialties based upon the same indicators including, but not limited to NCQA network adequacy and access standards focused on distribution of provider types within geographic regions (i.e. zip codes); plan population density within geographic regions (i.e. zip codes); time and/or distance to access provider type within urban, suburban and rural areas; appointment wait times for emergent, urgent and routine visits; customer satisfaction surveys; and customer complaint data.  That is, Cigna's reimbursement rate development and negotiation processes are ultimately designed to ensure achievement of its adequacy standards for MH/SUD and M/S providers, and any departure from the standard fee schedules is informed by market demand, which may include, for example, the need to maintain, or achieve, network adequacy for a provider type in a particular geographic area.</w:t>
            </w:r>
          </w:p>
          <w:p w14:paraId="60FFD869" w14:textId="77777777" w:rsidR="002C1B07" w:rsidRPr="002C1B07" w:rsidRDefault="002C1B07" w:rsidP="002C1B07">
            <w:pPr>
              <w:rPr>
                <w:rFonts w:ascii="Century Gothic" w:hAnsi="Century Gothic" w:cs="Times New Roman"/>
                <w:bCs/>
                <w:i/>
                <w:iCs/>
                <w:u w:val="single"/>
              </w:rPr>
            </w:pPr>
            <w:r w:rsidRPr="002C1B07">
              <w:rPr>
                <w:rFonts w:ascii="Century Gothic" w:hAnsi="Century Gothic" w:cs="Times New Roman"/>
                <w:bCs/>
                <w:i/>
                <w:iCs/>
                <w:u w:val="single"/>
              </w:rPr>
              <w:t>Facility Reimbursement – Inpatient</w:t>
            </w:r>
          </w:p>
          <w:p w14:paraId="6A583CAF" w14:textId="583F6BA8" w:rsidR="002C1B07" w:rsidRPr="002C1B07" w:rsidRDefault="002C1B07" w:rsidP="002C1B07">
            <w:pPr>
              <w:rPr>
                <w:rFonts w:ascii="Century Gothic" w:hAnsi="Century Gothic" w:cs="Times New Roman"/>
                <w:bCs/>
              </w:rPr>
            </w:pPr>
            <w:r w:rsidRPr="002C1B07">
              <w:rPr>
                <w:rFonts w:ascii="Century Gothic" w:hAnsi="Century Gothic" w:cs="Times New Roman"/>
                <w:bCs/>
              </w:rPr>
              <w:t>In-network facility-based services which are not reimbursed on an assigned diagnosis-related group (DRG</w:t>
            </w:r>
            <w:proofErr w:type="gramStart"/>
            <w:r w:rsidRPr="002C1B07">
              <w:rPr>
                <w:rFonts w:ascii="Century Gothic" w:hAnsi="Century Gothic" w:cs="Times New Roman"/>
                <w:bCs/>
              </w:rPr>
              <w:t>)</w:t>
            </w:r>
            <w:proofErr w:type="gramEnd"/>
            <w:r w:rsidRPr="002C1B07">
              <w:rPr>
                <w:rFonts w:ascii="Century Gothic" w:hAnsi="Century Gothic" w:cs="Times New Roman"/>
                <w:bCs/>
              </w:rPr>
              <w:t xml:space="preserve"> or case rate basis may generally be reimbursed on a per diem or discount basis.  Currently, M/S has many more DRG contracts while a small minority of MH/SUD contracts are paid as DRG or case rate.   Specifically, M/S paid just under 60% of admissions last year under DRGs and 20% as per-diem, and 20% as a percent of charges.   MH/SUD are essentially 100% per-diem, as MH/SUD contracts do not have any significant case rates or </w:t>
            </w:r>
            <w:proofErr w:type="gramStart"/>
            <w:r w:rsidRPr="002C1B07">
              <w:rPr>
                <w:rFonts w:ascii="Century Gothic" w:hAnsi="Century Gothic" w:cs="Times New Roman"/>
                <w:bCs/>
              </w:rPr>
              <w:t>percent</w:t>
            </w:r>
            <w:proofErr w:type="gramEnd"/>
            <w:r w:rsidRPr="002C1B07">
              <w:rPr>
                <w:rFonts w:ascii="Century Gothic" w:hAnsi="Century Gothic" w:cs="Times New Roman"/>
                <w:bCs/>
              </w:rPr>
              <w:t xml:space="preserve"> of charges contracts.    DRG (i.e. case rate) reimbursement rates generally do not exist for MH/SUD in-network inpatient services because unlike certain routine medical inpatient procedures (i.e. vaginal deliveries; cesarean deliveries; appendectomies, etc.), MH/SUD inpatient stays vary depending upon the unique clinical needs, circumstances and complexities of the individual patient (i.e. patient’s insight or lack of insight into their illness; patient motivation to receive treatment; comorbidity, etc. </w:t>
            </w:r>
          </w:p>
          <w:p w14:paraId="31905F2F" w14:textId="1411E63F" w:rsidR="002C1B07" w:rsidRPr="002C1B07" w:rsidRDefault="002C1B07" w:rsidP="002C1B07">
            <w:pPr>
              <w:rPr>
                <w:rFonts w:ascii="Century Gothic" w:hAnsi="Century Gothic" w:cs="Times New Roman"/>
                <w:bCs/>
              </w:rPr>
            </w:pPr>
            <w:r w:rsidRPr="002C1B07">
              <w:rPr>
                <w:rFonts w:ascii="Century Gothic" w:hAnsi="Century Gothic" w:cs="Times New Roman"/>
                <w:bCs/>
              </w:rPr>
              <w:t>Per diem reimbursement for both M/S and MH/SUD facility-based services are based upon the following factors and accompanying evidentiary standards: (1) geographic market, which may be adjusted based upon Medicare Geographical Practice Cost Index (“GPCI”); (2) type of provider and/or specialty (e.g. physician practitioner v. non-physician practitioner v. facility); (3) supply of provider type and/or specialty; (4) network need and/or demand for provider type and/or specialty; (5) Medicare reimbursement rates for codes with assigned Medicare Relative Value Unit (“RVU”); and (6) Training, experience and licensure of providers billing for professional services under the facility agreement.</w:t>
            </w:r>
          </w:p>
          <w:p w14:paraId="032BCCA1" w14:textId="5258BD6B" w:rsidR="002C1B07" w:rsidRPr="002C1B07" w:rsidRDefault="002C1B07" w:rsidP="002C1B07">
            <w:pPr>
              <w:rPr>
                <w:rFonts w:ascii="Century Gothic" w:hAnsi="Century Gothic" w:cs="Times New Roman"/>
                <w:b/>
              </w:rPr>
            </w:pPr>
            <w:r w:rsidRPr="002C1B07">
              <w:rPr>
                <w:rFonts w:ascii="Century Gothic" w:hAnsi="Century Gothic" w:cs="Times New Roman"/>
                <w:bCs/>
              </w:rPr>
              <w:t xml:space="preserve">Cigna's methodology and process for negotiating in-network provider reimbursements for M/S and MH/SUD services within a classification of benefits are comparable and no more stringent for MH/SUD services than for M/S services within the same classification of benefits as written. Cigna also follows a comparable process in determining payment rates for non-physician providers for both M/S and MH/SUD benefits. While there is variation in type of reimbursement methodology for facility reimbursement, Cigna’s Network Providers choose which methodology (DRG, Per Diem or Case Rate) will apply and the processes, </w:t>
            </w:r>
            <w:proofErr w:type="gramStart"/>
            <w:r w:rsidRPr="002C1B07">
              <w:rPr>
                <w:rFonts w:ascii="Century Gothic" w:hAnsi="Century Gothic" w:cs="Times New Roman"/>
                <w:bCs/>
              </w:rPr>
              <w:t>factors</w:t>
            </w:r>
            <w:proofErr w:type="gramEnd"/>
            <w:r w:rsidRPr="002C1B07">
              <w:rPr>
                <w:rFonts w:ascii="Century Gothic" w:hAnsi="Century Gothic" w:cs="Times New Roman"/>
                <w:bCs/>
              </w:rPr>
              <w:t xml:space="preserve"> and evidentiary standards applicable to each methodology is applied to M/S and MH/SUD providers consistently.  In this process, variables including market demand, provider specialty and availability and frequency of requests for provider fee increases may result in differentials in reimbursement rates across medical/surgical and MH/SUD provider types</w:t>
            </w:r>
            <w:r w:rsidRPr="002C1B07">
              <w:rPr>
                <w:rFonts w:ascii="Century Gothic" w:hAnsi="Century Gothic" w:cs="Times New Roman"/>
                <w:b/>
              </w:rPr>
              <w:t>.</w:t>
            </w:r>
          </w:p>
        </w:tc>
        <w:tc>
          <w:tcPr>
            <w:tcW w:w="2524" w:type="pct"/>
            <w:tcBorders>
              <w:top w:val="single" w:sz="4" w:space="0" w:color="auto"/>
              <w:left w:val="single" w:sz="4" w:space="0" w:color="auto"/>
              <w:bottom w:val="single" w:sz="4" w:space="0" w:color="auto"/>
              <w:right w:val="single" w:sz="4" w:space="0" w:color="auto"/>
            </w:tcBorders>
          </w:tcPr>
          <w:p w14:paraId="4255FC7A" w14:textId="77777777" w:rsidR="002C1B07" w:rsidRPr="002C1B07" w:rsidRDefault="002C1B07" w:rsidP="002C1B07">
            <w:pPr>
              <w:rPr>
                <w:rFonts w:ascii="Century Gothic" w:hAnsi="Century Gothic" w:cs="Times New Roman"/>
                <w:b/>
              </w:rPr>
            </w:pPr>
            <w:r w:rsidRPr="002C1B07">
              <w:rPr>
                <w:rFonts w:ascii="Century Gothic" w:hAnsi="Century Gothic" w:cs="Times New Roman"/>
                <w:b/>
              </w:rPr>
              <w:t>Provider Reimbursement</w:t>
            </w:r>
          </w:p>
          <w:p w14:paraId="77C3B2CE" w14:textId="77777777" w:rsidR="002C1B07" w:rsidRPr="002C1B07" w:rsidRDefault="002C1B07" w:rsidP="002C1B07">
            <w:pPr>
              <w:rPr>
                <w:rFonts w:ascii="Century Gothic" w:hAnsi="Century Gothic" w:cs="Times New Roman"/>
                <w:b/>
              </w:rPr>
            </w:pPr>
          </w:p>
          <w:p w14:paraId="29AF7B8E" w14:textId="77777777" w:rsidR="002C1B07" w:rsidRPr="002C1B07" w:rsidRDefault="002C1B07" w:rsidP="002C1B07">
            <w:pPr>
              <w:rPr>
                <w:rFonts w:ascii="Century Gothic" w:hAnsi="Century Gothic" w:cs="Times New Roman"/>
                <w:b/>
                <w:bCs/>
              </w:rPr>
            </w:pPr>
          </w:p>
          <w:p w14:paraId="4C23ADA8" w14:textId="77777777" w:rsidR="002C1B07" w:rsidRPr="002C1B07" w:rsidRDefault="002C1B07" w:rsidP="002C1B07">
            <w:pPr>
              <w:rPr>
                <w:rFonts w:ascii="Century Gothic" w:hAnsi="Century Gothic" w:cs="Times New Roman"/>
                <w:b/>
                <w:bCs/>
              </w:rPr>
            </w:pPr>
          </w:p>
          <w:p w14:paraId="0FC9F348" w14:textId="77777777" w:rsidR="002C1B07" w:rsidRPr="002C1B07" w:rsidRDefault="002C1B07" w:rsidP="002C1B07">
            <w:pPr>
              <w:rPr>
                <w:rFonts w:ascii="Century Gothic" w:hAnsi="Century Gothic" w:cs="Times New Roman"/>
                <w:b/>
                <w:bCs/>
              </w:rPr>
            </w:pPr>
          </w:p>
          <w:p w14:paraId="5186BE30" w14:textId="77777777" w:rsidR="002C1B07" w:rsidRPr="002C1B07" w:rsidRDefault="002C1B07" w:rsidP="002C1B07">
            <w:pPr>
              <w:rPr>
                <w:rFonts w:ascii="Century Gothic" w:hAnsi="Century Gothic" w:cs="Times New Roman"/>
              </w:rPr>
            </w:pPr>
          </w:p>
        </w:tc>
      </w:tr>
      <w:tr w:rsidR="002C1B07" w:rsidRPr="002C1B07" w14:paraId="45487D07" w14:textId="77777777" w:rsidTr="002C1B07">
        <w:trPr>
          <w:trHeight w:val="386"/>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FAB39" w14:textId="316781F8" w:rsidR="002C1B07" w:rsidRPr="002C1B07" w:rsidRDefault="002C1B07" w:rsidP="002C1B07">
            <w:pPr>
              <w:rPr>
                <w:rFonts w:ascii="Century Gothic" w:hAnsi="Century Gothic" w:cs="Times New Roman"/>
                <w:b/>
              </w:rPr>
            </w:pPr>
            <w:r w:rsidRPr="002C1B07">
              <w:rPr>
                <w:rFonts w:ascii="Century Gothic" w:hAnsi="Century Gothic" w:cs="Times New Roman"/>
                <w:b/>
              </w:rPr>
              <w:t xml:space="preserve">In Operation Analysis </w:t>
            </w:r>
          </w:p>
        </w:tc>
      </w:tr>
      <w:tr w:rsidR="002C1B07" w:rsidRPr="002C1B07" w14:paraId="1C8C14A3" w14:textId="77777777" w:rsidTr="002C1B07">
        <w:trPr>
          <w:trHeight w:val="82"/>
        </w:trPr>
        <w:tc>
          <w:tcPr>
            <w:tcW w:w="2476" w:type="pct"/>
            <w:tcBorders>
              <w:top w:val="single" w:sz="4" w:space="0" w:color="auto"/>
              <w:left w:val="single" w:sz="4" w:space="0" w:color="auto"/>
              <w:bottom w:val="single" w:sz="4" w:space="0" w:color="auto"/>
              <w:right w:val="single" w:sz="4" w:space="0" w:color="auto"/>
            </w:tcBorders>
          </w:tcPr>
          <w:p w14:paraId="2C68354F" w14:textId="6AF1E799" w:rsidR="002C1B07" w:rsidRPr="002C1B07" w:rsidRDefault="002C1B07" w:rsidP="002C1B07">
            <w:pPr>
              <w:rPr>
                <w:rFonts w:ascii="Century Gothic" w:hAnsi="Century Gothic" w:cs="Times New Roman"/>
                <w:b/>
              </w:rPr>
            </w:pPr>
            <w:r w:rsidRPr="002C1B07">
              <w:rPr>
                <w:rFonts w:ascii="Century Gothic" w:hAnsi="Century Gothic" w:cs="Times New Roman"/>
                <w:b/>
              </w:rPr>
              <w:t xml:space="preserve">In operation – data </w:t>
            </w:r>
          </w:p>
          <w:p w14:paraId="744BD6E4" w14:textId="349A6BDF" w:rsidR="002C1B07" w:rsidRPr="002C1B07" w:rsidRDefault="002C1B07" w:rsidP="002C1B07">
            <w:pPr>
              <w:rPr>
                <w:rFonts w:ascii="Century Gothic" w:hAnsi="Century Gothic" w:cs="Times New Roman"/>
                <w:b/>
              </w:rPr>
            </w:pPr>
            <w:r w:rsidRPr="002C1B07">
              <w:rPr>
                <w:rFonts w:ascii="Century Gothic" w:hAnsi="Century Gothic" w:cs="Times New Roman"/>
                <w:b/>
              </w:rPr>
              <w:t xml:space="preserve">M/S: </w:t>
            </w:r>
          </w:p>
          <w:p w14:paraId="6E78538D" w14:textId="7ADE648C" w:rsidR="002C1B07" w:rsidRPr="002C1B07" w:rsidRDefault="002C1B07" w:rsidP="002C1B07">
            <w:pPr>
              <w:rPr>
                <w:rFonts w:ascii="Century Gothic" w:hAnsi="Century Gothic" w:cs="Times New Roman"/>
                <w:bCs/>
              </w:rPr>
            </w:pPr>
            <w:r w:rsidRPr="002C1B07">
              <w:rPr>
                <w:rFonts w:ascii="Century Gothic" w:hAnsi="Century Gothic" w:cs="Times New Roman"/>
                <w:bCs/>
              </w:rPr>
              <w:t xml:space="preserve">This comparative analysis was drafted based on Cigna Credentialing and Network Access Reporting provided below. </w:t>
            </w:r>
          </w:p>
          <w:tbl>
            <w:tblPr>
              <w:tblW w:w="4442" w:type="dxa"/>
              <w:tblLook w:val="04A0" w:firstRow="1" w:lastRow="0" w:firstColumn="1" w:lastColumn="0" w:noHBand="0" w:noVBand="1"/>
            </w:tblPr>
            <w:tblGrid>
              <w:gridCol w:w="1951"/>
              <w:gridCol w:w="2491"/>
            </w:tblGrid>
            <w:tr w:rsidR="002C1B07" w:rsidRPr="002C1B07" w14:paraId="5B8AFB4B" w14:textId="77777777" w:rsidTr="002C1B07">
              <w:trPr>
                <w:trHeight w:val="381"/>
              </w:trPr>
              <w:tc>
                <w:tcPr>
                  <w:tcW w:w="186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045429E"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Metric</w:t>
                  </w:r>
                </w:p>
              </w:tc>
              <w:tc>
                <w:tcPr>
                  <w:tcW w:w="2574" w:type="dxa"/>
                  <w:tcBorders>
                    <w:top w:val="single" w:sz="4" w:space="0" w:color="auto"/>
                    <w:left w:val="nil"/>
                    <w:bottom w:val="single" w:sz="4" w:space="0" w:color="auto"/>
                    <w:right w:val="single" w:sz="4" w:space="0" w:color="auto"/>
                  </w:tcBorders>
                  <w:shd w:val="clear" w:color="auto" w:fill="BFBFBF"/>
                  <w:noWrap/>
                  <w:vAlign w:val="center"/>
                  <w:hideMark/>
                </w:tcPr>
                <w:p w14:paraId="5C198EDF"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Medical</w:t>
                  </w:r>
                </w:p>
              </w:tc>
            </w:tr>
            <w:tr w:rsidR="002C1B07" w:rsidRPr="002C1B07" w14:paraId="489F79CE" w14:textId="77777777" w:rsidTr="002C1B07">
              <w:trPr>
                <w:trHeight w:val="1052"/>
              </w:trPr>
              <w:tc>
                <w:tcPr>
                  <w:tcW w:w="1868" w:type="dxa"/>
                  <w:tcBorders>
                    <w:top w:val="nil"/>
                    <w:left w:val="single" w:sz="4" w:space="0" w:color="auto"/>
                    <w:bottom w:val="single" w:sz="4" w:space="0" w:color="auto"/>
                    <w:right w:val="single" w:sz="4" w:space="0" w:color="auto"/>
                  </w:tcBorders>
                  <w:noWrap/>
                  <w:hideMark/>
                </w:tcPr>
                <w:p w14:paraId="7DD756DE"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 Time/Distance Report</w:t>
                  </w:r>
                </w:p>
              </w:tc>
              <w:tc>
                <w:tcPr>
                  <w:tcW w:w="2574" w:type="dxa"/>
                  <w:tcBorders>
                    <w:top w:val="nil"/>
                    <w:left w:val="nil"/>
                    <w:bottom w:val="single" w:sz="4" w:space="0" w:color="auto"/>
                    <w:right w:val="single" w:sz="4" w:space="0" w:color="auto"/>
                  </w:tcBorders>
                  <w:hideMark/>
                </w:tcPr>
                <w:p w14:paraId="492C6EB2"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PCP = 100% </w:t>
                  </w:r>
                  <w:r w:rsidRPr="002C1B07">
                    <w:rPr>
                      <w:rFonts w:ascii="Century Gothic" w:hAnsi="Century Gothic" w:cs="Times New Roman"/>
                      <w:b/>
                      <w:bCs/>
                    </w:rPr>
                    <w:t>(met)</w:t>
                  </w:r>
                  <w:r w:rsidRPr="002C1B07">
                    <w:rPr>
                      <w:rFonts w:ascii="Century Gothic" w:hAnsi="Century Gothic" w:cs="Times New Roman"/>
                    </w:rPr>
                    <w:br/>
                    <w:t xml:space="preserve">Specialist = 98% - 100% </w:t>
                  </w:r>
                  <w:r w:rsidRPr="002C1B07">
                    <w:rPr>
                      <w:rFonts w:ascii="Century Gothic" w:hAnsi="Century Gothic" w:cs="Times New Roman"/>
                      <w:b/>
                      <w:bCs/>
                    </w:rPr>
                    <w:t>(met)</w:t>
                  </w:r>
                </w:p>
              </w:tc>
            </w:tr>
            <w:tr w:rsidR="002C1B07" w:rsidRPr="002C1B07" w14:paraId="0E272AD3" w14:textId="77777777" w:rsidTr="002C1B07">
              <w:trPr>
                <w:trHeight w:val="3420"/>
              </w:trPr>
              <w:tc>
                <w:tcPr>
                  <w:tcW w:w="1868" w:type="dxa"/>
                  <w:tcBorders>
                    <w:top w:val="nil"/>
                    <w:left w:val="single" w:sz="4" w:space="0" w:color="auto"/>
                    <w:bottom w:val="single" w:sz="4" w:space="0" w:color="auto"/>
                    <w:right w:val="single" w:sz="4" w:space="0" w:color="auto"/>
                  </w:tcBorders>
                  <w:noWrap/>
                  <w:hideMark/>
                </w:tcPr>
                <w:p w14:paraId="2910B731" w14:textId="77777777" w:rsidR="002C1B07" w:rsidRPr="002C1B07" w:rsidRDefault="002C1B07" w:rsidP="002C1B07">
                  <w:pPr>
                    <w:rPr>
                      <w:rFonts w:ascii="Century Gothic" w:hAnsi="Century Gothic" w:cs="Times New Roman"/>
                    </w:rPr>
                  </w:pPr>
                  <w:r w:rsidRPr="002C1B07">
                    <w:rPr>
                      <w:rFonts w:ascii="Century Gothic" w:hAnsi="Century Gothic" w:cs="Times New Roman"/>
                    </w:rPr>
                    <w:t>Provider/Enrollee Ratio</w:t>
                  </w:r>
                </w:p>
              </w:tc>
              <w:tc>
                <w:tcPr>
                  <w:tcW w:w="2574" w:type="dxa"/>
                  <w:tcBorders>
                    <w:top w:val="nil"/>
                    <w:left w:val="nil"/>
                    <w:bottom w:val="single" w:sz="4" w:space="0" w:color="auto"/>
                    <w:right w:val="single" w:sz="4" w:space="0" w:color="auto"/>
                  </w:tcBorders>
                  <w:hideMark/>
                </w:tcPr>
                <w:p w14:paraId="0150A719"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PCP Ratio (1 PCP: 300 Members):  </w:t>
                  </w:r>
                  <w:r w:rsidRPr="002C1B07">
                    <w:rPr>
                      <w:rFonts w:ascii="Century Gothic" w:hAnsi="Century Gothic" w:cs="Times New Roman"/>
                      <w:b/>
                      <w:bCs/>
                    </w:rPr>
                    <w:t>Met</w:t>
                  </w:r>
                  <w:r w:rsidRPr="002C1B07">
                    <w:rPr>
                      <w:rFonts w:ascii="Century Gothic" w:hAnsi="Century Gothic" w:cs="Times New Roman"/>
                    </w:rPr>
                    <w:br/>
                    <w:t xml:space="preserve">Specialist Ratio </w:t>
                  </w:r>
                  <w:r w:rsidRPr="002C1B07">
                    <w:rPr>
                      <w:rFonts w:ascii="Century Gothic" w:hAnsi="Century Gothic" w:cs="Times New Roman"/>
                      <w:b/>
                      <w:bCs/>
                    </w:rPr>
                    <w:t xml:space="preserve">except </w:t>
                  </w:r>
                  <w:proofErr w:type="spellStart"/>
                  <w:r w:rsidRPr="002C1B07">
                    <w:rPr>
                      <w:rFonts w:ascii="Century Gothic" w:hAnsi="Century Gothic" w:cs="Times New Roman"/>
                    </w:rPr>
                    <w:t>ophthamology</w:t>
                  </w:r>
                  <w:proofErr w:type="spellEnd"/>
                  <w:r w:rsidRPr="002C1B07">
                    <w:rPr>
                      <w:rFonts w:ascii="Century Gothic" w:hAnsi="Century Gothic" w:cs="Times New Roman"/>
                    </w:rPr>
                    <w:t xml:space="preserve"> and OBGYN (1 Spec: 10,000 Members): </w:t>
                  </w:r>
                  <w:r w:rsidRPr="002C1B07">
                    <w:rPr>
                      <w:rFonts w:ascii="Century Gothic" w:hAnsi="Century Gothic" w:cs="Times New Roman"/>
                      <w:b/>
                      <w:bCs/>
                    </w:rPr>
                    <w:t xml:space="preserve"> Met </w:t>
                  </w:r>
                  <w:r w:rsidRPr="002C1B07">
                    <w:rPr>
                      <w:rFonts w:ascii="Century Gothic" w:hAnsi="Century Gothic" w:cs="Times New Roman"/>
                      <w:b/>
                      <w:bCs/>
                    </w:rPr>
                    <w:br/>
                  </w:r>
                  <w:r w:rsidRPr="002C1B07">
                    <w:rPr>
                      <w:rFonts w:ascii="Century Gothic" w:hAnsi="Century Gothic" w:cs="Times New Roman"/>
                    </w:rPr>
                    <w:t xml:space="preserve">Specialist Ratio </w:t>
                  </w:r>
                  <w:proofErr w:type="spellStart"/>
                  <w:r w:rsidRPr="002C1B07">
                    <w:rPr>
                      <w:rFonts w:ascii="Century Gothic" w:hAnsi="Century Gothic" w:cs="Times New Roman"/>
                    </w:rPr>
                    <w:t>ophthamology</w:t>
                  </w:r>
                  <w:proofErr w:type="spellEnd"/>
                  <w:r w:rsidRPr="002C1B07">
                    <w:rPr>
                      <w:rFonts w:ascii="Century Gothic" w:hAnsi="Century Gothic" w:cs="Times New Roman"/>
                    </w:rPr>
                    <w:t xml:space="preserve"> and OBGYN Specialist Ratio (1 Spec: 2,000 Members):  </w:t>
                  </w:r>
                  <w:r w:rsidRPr="002C1B07">
                    <w:rPr>
                      <w:rFonts w:ascii="Century Gothic" w:hAnsi="Century Gothic" w:cs="Times New Roman"/>
                      <w:b/>
                      <w:bCs/>
                    </w:rPr>
                    <w:t>Met</w:t>
                  </w:r>
                </w:p>
              </w:tc>
            </w:tr>
          </w:tbl>
          <w:p w14:paraId="0FA291BC" w14:textId="77777777" w:rsidR="002C1B07" w:rsidRPr="002C1B07" w:rsidRDefault="002C1B07" w:rsidP="002C1B07">
            <w:pPr>
              <w:rPr>
                <w:rFonts w:ascii="Century Gothic" w:hAnsi="Century Gothic" w:cs="Times New Roman"/>
                <w:b/>
              </w:rPr>
            </w:pPr>
          </w:p>
          <w:tbl>
            <w:tblPr>
              <w:tblW w:w="8925" w:type="dxa"/>
              <w:tblLook w:val="04A0" w:firstRow="1" w:lastRow="0" w:firstColumn="1" w:lastColumn="0" w:noHBand="0" w:noVBand="1"/>
            </w:tblPr>
            <w:tblGrid>
              <w:gridCol w:w="2086"/>
              <w:gridCol w:w="1693"/>
              <w:gridCol w:w="663"/>
            </w:tblGrid>
            <w:tr w:rsidR="002C1B07" w:rsidRPr="002C1B07" w14:paraId="60711FE4" w14:textId="77777777" w:rsidTr="002C1B07">
              <w:trPr>
                <w:trHeight w:val="275"/>
              </w:trPr>
              <w:tc>
                <w:tcPr>
                  <w:tcW w:w="429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ABD974C"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Credentialing</w:t>
                  </w:r>
                </w:p>
              </w:tc>
              <w:tc>
                <w:tcPr>
                  <w:tcW w:w="3438" w:type="dxa"/>
                  <w:tcBorders>
                    <w:top w:val="single" w:sz="4" w:space="0" w:color="auto"/>
                    <w:left w:val="nil"/>
                    <w:bottom w:val="single" w:sz="4" w:space="0" w:color="auto"/>
                    <w:right w:val="single" w:sz="4" w:space="0" w:color="auto"/>
                  </w:tcBorders>
                  <w:shd w:val="clear" w:color="auto" w:fill="D9D9D9"/>
                  <w:noWrap/>
                  <w:hideMark/>
                </w:tcPr>
                <w:p w14:paraId="0662376F"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Medical</w:t>
                  </w:r>
                </w:p>
              </w:tc>
              <w:tc>
                <w:tcPr>
                  <w:tcW w:w="1192" w:type="dxa"/>
                  <w:tcBorders>
                    <w:top w:val="single" w:sz="4" w:space="0" w:color="auto"/>
                    <w:left w:val="nil"/>
                    <w:bottom w:val="single" w:sz="4" w:space="0" w:color="auto"/>
                    <w:right w:val="single" w:sz="4" w:space="0" w:color="auto"/>
                  </w:tcBorders>
                  <w:shd w:val="clear" w:color="auto" w:fill="D9D9D9"/>
                  <w:noWrap/>
                  <w:hideMark/>
                </w:tcPr>
                <w:p w14:paraId="00F56004"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w:t>
                  </w:r>
                </w:p>
              </w:tc>
            </w:tr>
            <w:tr w:rsidR="002C1B07" w:rsidRPr="002C1B07" w14:paraId="3150A612" w14:textId="77777777" w:rsidTr="002C1B07">
              <w:trPr>
                <w:trHeight w:val="275"/>
              </w:trPr>
              <w:tc>
                <w:tcPr>
                  <w:tcW w:w="4297" w:type="dxa"/>
                  <w:tcBorders>
                    <w:top w:val="nil"/>
                    <w:left w:val="single" w:sz="4" w:space="0" w:color="auto"/>
                    <w:bottom w:val="single" w:sz="4" w:space="0" w:color="auto"/>
                    <w:right w:val="single" w:sz="4" w:space="0" w:color="auto"/>
                  </w:tcBorders>
                  <w:noWrap/>
                  <w:hideMark/>
                </w:tcPr>
                <w:p w14:paraId="6EE14EA2" w14:textId="77777777" w:rsidR="002C1B07" w:rsidRPr="002C1B07" w:rsidRDefault="002C1B07" w:rsidP="002C1B07">
                  <w:pPr>
                    <w:rPr>
                      <w:rFonts w:ascii="Century Gothic" w:hAnsi="Century Gothic" w:cs="Times New Roman"/>
                    </w:rPr>
                  </w:pPr>
                  <w:r w:rsidRPr="002C1B07">
                    <w:rPr>
                      <w:rFonts w:ascii="Century Gothic" w:hAnsi="Century Gothic" w:cs="Times New Roman"/>
                    </w:rPr>
                    <w:t>Total number of requests</w:t>
                  </w:r>
                </w:p>
              </w:tc>
              <w:tc>
                <w:tcPr>
                  <w:tcW w:w="3438" w:type="dxa"/>
                  <w:tcBorders>
                    <w:top w:val="nil"/>
                    <w:left w:val="nil"/>
                    <w:bottom w:val="single" w:sz="4" w:space="0" w:color="auto"/>
                    <w:right w:val="single" w:sz="4" w:space="0" w:color="auto"/>
                  </w:tcBorders>
                  <w:noWrap/>
                  <w:vAlign w:val="bottom"/>
                  <w:hideMark/>
                </w:tcPr>
                <w:p w14:paraId="54929C3B" w14:textId="77777777" w:rsidR="002C1B07" w:rsidRPr="002C1B07" w:rsidRDefault="002C1B07" w:rsidP="002C1B07">
                  <w:pPr>
                    <w:rPr>
                      <w:rFonts w:ascii="Century Gothic" w:hAnsi="Century Gothic" w:cs="Times New Roman"/>
                    </w:rPr>
                  </w:pPr>
                  <w:r w:rsidRPr="002C1B07">
                    <w:rPr>
                      <w:rFonts w:ascii="Century Gothic" w:hAnsi="Century Gothic" w:cs="Times New Roman"/>
                    </w:rPr>
                    <w:t>55631</w:t>
                  </w:r>
                </w:p>
              </w:tc>
              <w:tc>
                <w:tcPr>
                  <w:tcW w:w="1192" w:type="dxa"/>
                  <w:tcBorders>
                    <w:top w:val="nil"/>
                    <w:left w:val="nil"/>
                    <w:bottom w:val="single" w:sz="4" w:space="0" w:color="auto"/>
                    <w:right w:val="single" w:sz="4" w:space="0" w:color="auto"/>
                  </w:tcBorders>
                  <w:shd w:val="clear" w:color="auto" w:fill="000000"/>
                  <w:noWrap/>
                  <w:vAlign w:val="bottom"/>
                  <w:hideMark/>
                </w:tcPr>
                <w:p w14:paraId="1780552F" w14:textId="77777777" w:rsidR="002C1B07" w:rsidRPr="002C1B07" w:rsidRDefault="002C1B07" w:rsidP="002C1B07">
                  <w:pPr>
                    <w:rPr>
                      <w:rFonts w:ascii="Century Gothic" w:hAnsi="Century Gothic" w:cs="Times New Roman"/>
                    </w:rPr>
                  </w:pPr>
                  <w:r w:rsidRPr="002C1B07">
                    <w:rPr>
                      <w:rFonts w:ascii="Century Gothic" w:hAnsi="Century Gothic" w:cs="Times New Roman"/>
                    </w:rPr>
                    <w:t> </w:t>
                  </w:r>
                </w:p>
              </w:tc>
            </w:tr>
            <w:tr w:rsidR="002C1B07" w:rsidRPr="002C1B07" w14:paraId="04217CEB" w14:textId="77777777" w:rsidTr="002C1B07">
              <w:trPr>
                <w:trHeight w:val="262"/>
              </w:trPr>
              <w:tc>
                <w:tcPr>
                  <w:tcW w:w="4297" w:type="dxa"/>
                  <w:tcBorders>
                    <w:top w:val="nil"/>
                    <w:left w:val="single" w:sz="4" w:space="0" w:color="auto"/>
                    <w:bottom w:val="single" w:sz="4" w:space="0" w:color="auto"/>
                    <w:right w:val="single" w:sz="4" w:space="0" w:color="auto"/>
                  </w:tcBorders>
                  <w:noWrap/>
                  <w:hideMark/>
                </w:tcPr>
                <w:p w14:paraId="7DFFCAA4" w14:textId="77777777" w:rsidR="002C1B07" w:rsidRPr="002C1B07" w:rsidRDefault="002C1B07" w:rsidP="002C1B07">
                  <w:pPr>
                    <w:rPr>
                      <w:rFonts w:ascii="Century Gothic" w:hAnsi="Century Gothic" w:cs="Times New Roman"/>
                    </w:rPr>
                  </w:pPr>
                  <w:r w:rsidRPr="002C1B07">
                    <w:rPr>
                      <w:rFonts w:ascii="Century Gothic" w:hAnsi="Century Gothic" w:cs="Times New Roman"/>
                    </w:rPr>
                    <w:t>Total approved</w:t>
                  </w:r>
                </w:p>
              </w:tc>
              <w:tc>
                <w:tcPr>
                  <w:tcW w:w="3438" w:type="dxa"/>
                  <w:tcBorders>
                    <w:top w:val="nil"/>
                    <w:left w:val="nil"/>
                    <w:bottom w:val="single" w:sz="4" w:space="0" w:color="auto"/>
                    <w:right w:val="single" w:sz="4" w:space="0" w:color="auto"/>
                  </w:tcBorders>
                  <w:noWrap/>
                  <w:vAlign w:val="bottom"/>
                  <w:hideMark/>
                </w:tcPr>
                <w:p w14:paraId="590DE811"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55447 </w:t>
                  </w:r>
                </w:p>
              </w:tc>
              <w:tc>
                <w:tcPr>
                  <w:tcW w:w="1192" w:type="dxa"/>
                  <w:tcBorders>
                    <w:top w:val="nil"/>
                    <w:left w:val="nil"/>
                    <w:bottom w:val="single" w:sz="4" w:space="0" w:color="auto"/>
                    <w:right w:val="single" w:sz="4" w:space="0" w:color="auto"/>
                  </w:tcBorders>
                  <w:noWrap/>
                  <w:vAlign w:val="bottom"/>
                  <w:hideMark/>
                </w:tcPr>
                <w:p w14:paraId="058CC300" w14:textId="77777777" w:rsidR="002C1B07" w:rsidRPr="002C1B07" w:rsidRDefault="002C1B07" w:rsidP="002C1B07">
                  <w:pPr>
                    <w:rPr>
                      <w:rFonts w:ascii="Century Gothic" w:hAnsi="Century Gothic" w:cs="Times New Roman"/>
                    </w:rPr>
                  </w:pPr>
                  <w:r w:rsidRPr="002C1B07">
                    <w:rPr>
                      <w:rFonts w:ascii="Century Gothic" w:hAnsi="Century Gothic" w:cs="Times New Roman"/>
                    </w:rPr>
                    <w:t>99.67%</w:t>
                  </w:r>
                </w:p>
              </w:tc>
            </w:tr>
            <w:tr w:rsidR="002C1B07" w:rsidRPr="002C1B07" w14:paraId="4AF52C83" w14:textId="77777777" w:rsidTr="002C1B07">
              <w:trPr>
                <w:trHeight w:val="275"/>
              </w:trPr>
              <w:tc>
                <w:tcPr>
                  <w:tcW w:w="4297" w:type="dxa"/>
                  <w:tcBorders>
                    <w:top w:val="nil"/>
                    <w:left w:val="single" w:sz="4" w:space="0" w:color="auto"/>
                    <w:bottom w:val="single" w:sz="4" w:space="0" w:color="auto"/>
                    <w:right w:val="single" w:sz="4" w:space="0" w:color="auto"/>
                  </w:tcBorders>
                  <w:noWrap/>
                  <w:hideMark/>
                </w:tcPr>
                <w:p w14:paraId="13C1F367" w14:textId="77777777" w:rsidR="002C1B07" w:rsidRPr="002C1B07" w:rsidRDefault="002C1B07" w:rsidP="002C1B07">
                  <w:pPr>
                    <w:rPr>
                      <w:rFonts w:ascii="Century Gothic" w:hAnsi="Century Gothic" w:cs="Times New Roman"/>
                    </w:rPr>
                  </w:pPr>
                  <w:r w:rsidRPr="002C1B07">
                    <w:rPr>
                      <w:rFonts w:ascii="Century Gothic" w:hAnsi="Century Gothic" w:cs="Times New Roman"/>
                    </w:rPr>
                    <w:t>Total denied</w:t>
                  </w:r>
                </w:p>
              </w:tc>
              <w:tc>
                <w:tcPr>
                  <w:tcW w:w="3438" w:type="dxa"/>
                  <w:tcBorders>
                    <w:top w:val="nil"/>
                    <w:left w:val="nil"/>
                    <w:bottom w:val="single" w:sz="4" w:space="0" w:color="auto"/>
                    <w:right w:val="single" w:sz="4" w:space="0" w:color="auto"/>
                  </w:tcBorders>
                  <w:noWrap/>
                  <w:vAlign w:val="bottom"/>
                  <w:hideMark/>
                </w:tcPr>
                <w:p w14:paraId="12A37A75"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184 </w:t>
                  </w:r>
                </w:p>
              </w:tc>
              <w:tc>
                <w:tcPr>
                  <w:tcW w:w="1192" w:type="dxa"/>
                  <w:tcBorders>
                    <w:top w:val="nil"/>
                    <w:left w:val="nil"/>
                    <w:bottom w:val="single" w:sz="4" w:space="0" w:color="auto"/>
                    <w:right w:val="single" w:sz="4" w:space="0" w:color="auto"/>
                  </w:tcBorders>
                  <w:noWrap/>
                  <w:vAlign w:val="bottom"/>
                  <w:hideMark/>
                </w:tcPr>
                <w:p w14:paraId="249D8B49" w14:textId="77777777" w:rsidR="002C1B07" w:rsidRPr="002C1B07" w:rsidRDefault="002C1B07" w:rsidP="002C1B07">
                  <w:pPr>
                    <w:rPr>
                      <w:rFonts w:ascii="Century Gothic" w:hAnsi="Century Gothic" w:cs="Times New Roman"/>
                    </w:rPr>
                  </w:pPr>
                  <w:r w:rsidRPr="002C1B07">
                    <w:rPr>
                      <w:rFonts w:ascii="Century Gothic" w:hAnsi="Century Gothic" w:cs="Times New Roman"/>
                    </w:rPr>
                    <w:t>0.33%</w:t>
                  </w:r>
                </w:p>
              </w:tc>
            </w:tr>
            <w:tr w:rsidR="002C1B07" w:rsidRPr="002C1B07" w14:paraId="04B551D3" w14:textId="77777777" w:rsidTr="002C1B07">
              <w:trPr>
                <w:trHeight w:val="275"/>
              </w:trPr>
              <w:tc>
                <w:tcPr>
                  <w:tcW w:w="4297" w:type="dxa"/>
                  <w:tcBorders>
                    <w:top w:val="nil"/>
                    <w:left w:val="single" w:sz="4" w:space="0" w:color="auto"/>
                    <w:bottom w:val="single" w:sz="4" w:space="0" w:color="auto"/>
                    <w:right w:val="single" w:sz="4" w:space="0" w:color="auto"/>
                  </w:tcBorders>
                  <w:noWrap/>
                  <w:hideMark/>
                </w:tcPr>
                <w:p w14:paraId="3AB971E3" w14:textId="77777777" w:rsidR="002C1B07" w:rsidRPr="002C1B07" w:rsidRDefault="002C1B07" w:rsidP="002C1B07">
                  <w:pPr>
                    <w:rPr>
                      <w:rFonts w:ascii="Century Gothic" w:hAnsi="Century Gothic" w:cs="Times New Roman"/>
                    </w:rPr>
                  </w:pPr>
                  <w:r w:rsidRPr="002C1B07">
                    <w:rPr>
                      <w:rFonts w:ascii="Century Gothic" w:hAnsi="Century Gothic" w:cs="Times New Roman"/>
                    </w:rPr>
                    <w:t>Total number of denials appealed</w:t>
                  </w:r>
                </w:p>
              </w:tc>
              <w:tc>
                <w:tcPr>
                  <w:tcW w:w="3438" w:type="dxa"/>
                  <w:tcBorders>
                    <w:top w:val="nil"/>
                    <w:left w:val="nil"/>
                    <w:bottom w:val="single" w:sz="4" w:space="0" w:color="auto"/>
                    <w:right w:val="single" w:sz="4" w:space="0" w:color="auto"/>
                  </w:tcBorders>
                  <w:noWrap/>
                  <w:vAlign w:val="bottom"/>
                  <w:hideMark/>
                </w:tcPr>
                <w:p w14:paraId="7752D233"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24 </w:t>
                  </w:r>
                </w:p>
              </w:tc>
              <w:tc>
                <w:tcPr>
                  <w:tcW w:w="1192" w:type="dxa"/>
                  <w:tcBorders>
                    <w:top w:val="nil"/>
                    <w:left w:val="nil"/>
                    <w:bottom w:val="single" w:sz="4" w:space="0" w:color="auto"/>
                    <w:right w:val="single" w:sz="4" w:space="0" w:color="auto"/>
                  </w:tcBorders>
                  <w:noWrap/>
                  <w:vAlign w:val="bottom"/>
                  <w:hideMark/>
                </w:tcPr>
                <w:p w14:paraId="3F56EC55" w14:textId="77777777" w:rsidR="002C1B07" w:rsidRPr="002C1B07" w:rsidRDefault="002C1B07" w:rsidP="002C1B07">
                  <w:pPr>
                    <w:rPr>
                      <w:rFonts w:ascii="Century Gothic" w:hAnsi="Century Gothic" w:cs="Times New Roman"/>
                    </w:rPr>
                  </w:pPr>
                  <w:r w:rsidRPr="002C1B07">
                    <w:rPr>
                      <w:rFonts w:ascii="Century Gothic" w:hAnsi="Century Gothic" w:cs="Times New Roman"/>
                    </w:rPr>
                    <w:t>13%</w:t>
                  </w:r>
                </w:p>
              </w:tc>
            </w:tr>
            <w:tr w:rsidR="002C1B07" w:rsidRPr="002C1B07" w14:paraId="101AC67E" w14:textId="77777777" w:rsidTr="002C1B07">
              <w:trPr>
                <w:trHeight w:val="275"/>
              </w:trPr>
              <w:tc>
                <w:tcPr>
                  <w:tcW w:w="4297" w:type="dxa"/>
                  <w:tcBorders>
                    <w:top w:val="nil"/>
                    <w:left w:val="single" w:sz="4" w:space="0" w:color="auto"/>
                    <w:bottom w:val="single" w:sz="4" w:space="0" w:color="auto"/>
                    <w:right w:val="single" w:sz="4" w:space="0" w:color="auto"/>
                  </w:tcBorders>
                  <w:noWrap/>
                  <w:vAlign w:val="bottom"/>
                  <w:hideMark/>
                </w:tcPr>
                <w:p w14:paraId="3B10B011" w14:textId="77777777" w:rsidR="002C1B07" w:rsidRPr="002C1B07" w:rsidRDefault="002C1B07" w:rsidP="002C1B07">
                  <w:pPr>
                    <w:rPr>
                      <w:rFonts w:ascii="Century Gothic" w:hAnsi="Century Gothic" w:cs="Times New Roman"/>
                    </w:rPr>
                  </w:pPr>
                  <w:r w:rsidRPr="002C1B07">
                    <w:rPr>
                      <w:rFonts w:ascii="Century Gothic" w:hAnsi="Century Gothic" w:cs="Times New Roman"/>
                    </w:rPr>
                    <w:t>Number of appeals overturned</w:t>
                  </w:r>
                </w:p>
              </w:tc>
              <w:tc>
                <w:tcPr>
                  <w:tcW w:w="3438" w:type="dxa"/>
                  <w:tcBorders>
                    <w:top w:val="nil"/>
                    <w:left w:val="nil"/>
                    <w:bottom w:val="single" w:sz="4" w:space="0" w:color="auto"/>
                    <w:right w:val="single" w:sz="4" w:space="0" w:color="auto"/>
                  </w:tcBorders>
                  <w:noWrap/>
                  <w:vAlign w:val="bottom"/>
                  <w:hideMark/>
                </w:tcPr>
                <w:p w14:paraId="0A3F60A9"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 9 </w:t>
                  </w:r>
                </w:p>
              </w:tc>
              <w:tc>
                <w:tcPr>
                  <w:tcW w:w="1192" w:type="dxa"/>
                  <w:tcBorders>
                    <w:top w:val="nil"/>
                    <w:left w:val="nil"/>
                    <w:bottom w:val="single" w:sz="4" w:space="0" w:color="auto"/>
                    <w:right w:val="single" w:sz="4" w:space="0" w:color="auto"/>
                  </w:tcBorders>
                  <w:noWrap/>
                  <w:vAlign w:val="bottom"/>
                  <w:hideMark/>
                </w:tcPr>
                <w:p w14:paraId="3C6BD6C3" w14:textId="77777777" w:rsidR="002C1B07" w:rsidRPr="002C1B07" w:rsidRDefault="002C1B07" w:rsidP="002C1B07">
                  <w:pPr>
                    <w:rPr>
                      <w:rFonts w:ascii="Century Gothic" w:hAnsi="Century Gothic" w:cs="Times New Roman"/>
                    </w:rPr>
                  </w:pPr>
                  <w:r w:rsidRPr="002C1B07">
                    <w:rPr>
                      <w:rFonts w:ascii="Century Gothic" w:hAnsi="Century Gothic" w:cs="Times New Roman"/>
                    </w:rPr>
                    <w:t>38%</w:t>
                  </w:r>
                </w:p>
              </w:tc>
            </w:tr>
            <w:tr w:rsidR="002C1B07" w:rsidRPr="002C1B07" w14:paraId="477F2471" w14:textId="77777777" w:rsidTr="002C1B07">
              <w:trPr>
                <w:trHeight w:val="275"/>
              </w:trPr>
              <w:tc>
                <w:tcPr>
                  <w:tcW w:w="4297" w:type="dxa"/>
                  <w:tcBorders>
                    <w:top w:val="nil"/>
                    <w:left w:val="single" w:sz="4" w:space="0" w:color="auto"/>
                    <w:bottom w:val="single" w:sz="4" w:space="0" w:color="auto"/>
                    <w:right w:val="single" w:sz="4" w:space="0" w:color="auto"/>
                  </w:tcBorders>
                  <w:noWrap/>
                  <w:vAlign w:val="bottom"/>
                  <w:hideMark/>
                </w:tcPr>
                <w:p w14:paraId="6E3D8678" w14:textId="77777777" w:rsidR="002C1B07" w:rsidRPr="002C1B07" w:rsidRDefault="002C1B07" w:rsidP="002C1B07">
                  <w:pPr>
                    <w:rPr>
                      <w:rFonts w:ascii="Century Gothic" w:hAnsi="Century Gothic" w:cs="Times New Roman"/>
                    </w:rPr>
                  </w:pPr>
                  <w:r w:rsidRPr="002C1B07">
                    <w:rPr>
                      <w:rFonts w:ascii="Century Gothic" w:hAnsi="Century Gothic" w:cs="Times New Roman"/>
                    </w:rPr>
                    <w:t>Number of appeals upheld</w:t>
                  </w:r>
                </w:p>
              </w:tc>
              <w:tc>
                <w:tcPr>
                  <w:tcW w:w="3438" w:type="dxa"/>
                  <w:tcBorders>
                    <w:top w:val="nil"/>
                    <w:left w:val="nil"/>
                    <w:bottom w:val="single" w:sz="4" w:space="0" w:color="auto"/>
                    <w:right w:val="single" w:sz="4" w:space="0" w:color="auto"/>
                  </w:tcBorders>
                  <w:noWrap/>
                  <w:vAlign w:val="bottom"/>
                  <w:hideMark/>
                </w:tcPr>
                <w:p w14:paraId="495C9A5C"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15 </w:t>
                  </w:r>
                </w:p>
              </w:tc>
              <w:tc>
                <w:tcPr>
                  <w:tcW w:w="1192" w:type="dxa"/>
                  <w:tcBorders>
                    <w:top w:val="nil"/>
                    <w:left w:val="nil"/>
                    <w:bottom w:val="single" w:sz="4" w:space="0" w:color="auto"/>
                    <w:right w:val="single" w:sz="4" w:space="0" w:color="auto"/>
                  </w:tcBorders>
                  <w:noWrap/>
                  <w:vAlign w:val="bottom"/>
                  <w:hideMark/>
                </w:tcPr>
                <w:p w14:paraId="009AA380" w14:textId="77777777" w:rsidR="002C1B07" w:rsidRPr="002C1B07" w:rsidRDefault="002C1B07" w:rsidP="002C1B07">
                  <w:pPr>
                    <w:rPr>
                      <w:rFonts w:ascii="Century Gothic" w:hAnsi="Century Gothic" w:cs="Times New Roman"/>
                    </w:rPr>
                  </w:pPr>
                  <w:r w:rsidRPr="002C1B07">
                    <w:rPr>
                      <w:rFonts w:ascii="Century Gothic" w:hAnsi="Century Gothic" w:cs="Times New Roman"/>
                    </w:rPr>
                    <w:t>62.5%</w:t>
                  </w:r>
                </w:p>
              </w:tc>
            </w:tr>
            <w:tr w:rsidR="002C1B07" w:rsidRPr="002C1B07" w14:paraId="0C9D2967" w14:textId="77777777" w:rsidTr="002C1B07">
              <w:trPr>
                <w:trHeight w:val="1379"/>
              </w:trPr>
              <w:tc>
                <w:tcPr>
                  <w:tcW w:w="4297" w:type="dxa"/>
                  <w:tcBorders>
                    <w:top w:val="nil"/>
                    <w:left w:val="single" w:sz="4" w:space="0" w:color="auto"/>
                    <w:bottom w:val="single" w:sz="4" w:space="0" w:color="auto"/>
                    <w:right w:val="single" w:sz="4" w:space="0" w:color="auto"/>
                  </w:tcBorders>
                  <w:noWrap/>
                  <w:hideMark/>
                </w:tcPr>
                <w:p w14:paraId="73A5CCB4" w14:textId="77777777" w:rsidR="002C1B07" w:rsidRPr="002C1B07" w:rsidRDefault="002C1B07" w:rsidP="002C1B07">
                  <w:pPr>
                    <w:rPr>
                      <w:rFonts w:ascii="Century Gothic" w:hAnsi="Century Gothic" w:cs="Times New Roman"/>
                    </w:rPr>
                  </w:pPr>
                  <w:r w:rsidRPr="002C1B07">
                    <w:rPr>
                      <w:rFonts w:ascii="Century Gothic" w:hAnsi="Century Gothic" w:cs="Times New Roman"/>
                    </w:rPr>
                    <w:t>List Top 5  Credentialing  Denial Reasons</w:t>
                  </w:r>
                </w:p>
              </w:tc>
              <w:tc>
                <w:tcPr>
                  <w:tcW w:w="3438" w:type="dxa"/>
                  <w:tcBorders>
                    <w:top w:val="nil"/>
                    <w:left w:val="nil"/>
                    <w:bottom w:val="single" w:sz="4" w:space="0" w:color="auto"/>
                    <w:right w:val="single" w:sz="4" w:space="0" w:color="auto"/>
                  </w:tcBorders>
                  <w:hideMark/>
                </w:tcPr>
                <w:p w14:paraId="3AAB0FE6" w14:textId="77777777" w:rsidR="002C1B07" w:rsidRPr="002C1B07" w:rsidRDefault="002C1B07" w:rsidP="002C1B07">
                  <w:pPr>
                    <w:rPr>
                      <w:rFonts w:ascii="Century Gothic" w:hAnsi="Century Gothic" w:cs="Times New Roman"/>
                    </w:rPr>
                  </w:pPr>
                  <w:r w:rsidRPr="002C1B07">
                    <w:rPr>
                      <w:rFonts w:ascii="Century Gothic" w:hAnsi="Century Gothic" w:cs="Times New Roman"/>
                    </w:rPr>
                    <w:t>1. Malpractice Issue</w:t>
                  </w:r>
                  <w:r w:rsidRPr="002C1B07">
                    <w:rPr>
                      <w:rFonts w:ascii="Century Gothic" w:hAnsi="Century Gothic" w:cs="Times New Roman"/>
                    </w:rPr>
                    <w:br/>
                    <w:t>2. License Issue</w:t>
                  </w:r>
                  <w:r w:rsidRPr="002C1B07">
                    <w:rPr>
                      <w:rFonts w:ascii="Century Gothic" w:hAnsi="Century Gothic" w:cs="Times New Roman"/>
                    </w:rPr>
                    <w:br/>
                    <w:t>3. Board Certification Issue</w:t>
                  </w:r>
                  <w:r w:rsidRPr="002C1B07">
                    <w:rPr>
                      <w:rFonts w:ascii="Century Gothic" w:hAnsi="Century Gothic" w:cs="Times New Roman"/>
                    </w:rPr>
                    <w:br/>
                    <w:t>4. Hospital Privileges</w:t>
                  </w:r>
                  <w:r w:rsidRPr="002C1B07">
                    <w:rPr>
                      <w:rFonts w:ascii="Century Gothic" w:hAnsi="Century Gothic" w:cs="Times New Roman"/>
                    </w:rPr>
                    <w:br/>
                    <w:t>5. Govt/Federal Business Excl</w:t>
                  </w:r>
                </w:p>
              </w:tc>
              <w:tc>
                <w:tcPr>
                  <w:tcW w:w="1192" w:type="dxa"/>
                  <w:tcBorders>
                    <w:top w:val="nil"/>
                    <w:left w:val="nil"/>
                    <w:bottom w:val="single" w:sz="4" w:space="0" w:color="auto"/>
                    <w:right w:val="single" w:sz="4" w:space="0" w:color="auto"/>
                  </w:tcBorders>
                  <w:hideMark/>
                </w:tcPr>
                <w:p w14:paraId="4F8DC3CB" w14:textId="77777777" w:rsidR="002C1B07" w:rsidRPr="002C1B07" w:rsidRDefault="002C1B07" w:rsidP="002C1B07">
                  <w:pPr>
                    <w:rPr>
                      <w:rFonts w:ascii="Century Gothic" w:hAnsi="Century Gothic" w:cs="Times New Roman"/>
                    </w:rPr>
                  </w:pPr>
                  <w:r w:rsidRPr="002C1B07">
                    <w:rPr>
                      <w:rFonts w:ascii="Century Gothic" w:hAnsi="Century Gothic" w:cs="Times New Roman"/>
                    </w:rPr>
                    <w:t> </w:t>
                  </w:r>
                </w:p>
              </w:tc>
            </w:tr>
            <w:tr w:rsidR="002C1B07" w:rsidRPr="002C1B07" w14:paraId="7E48DB41" w14:textId="77777777" w:rsidTr="002C1B07">
              <w:trPr>
                <w:trHeight w:val="275"/>
              </w:trPr>
              <w:tc>
                <w:tcPr>
                  <w:tcW w:w="4297" w:type="dxa"/>
                  <w:tcBorders>
                    <w:top w:val="nil"/>
                    <w:left w:val="single" w:sz="4" w:space="0" w:color="auto"/>
                    <w:bottom w:val="single" w:sz="4" w:space="0" w:color="auto"/>
                    <w:right w:val="single" w:sz="4" w:space="0" w:color="auto"/>
                  </w:tcBorders>
                  <w:noWrap/>
                  <w:hideMark/>
                </w:tcPr>
                <w:p w14:paraId="044A020E" w14:textId="77777777" w:rsidR="002C1B07" w:rsidRPr="002C1B07" w:rsidRDefault="002C1B07" w:rsidP="002C1B07">
                  <w:pPr>
                    <w:rPr>
                      <w:rFonts w:ascii="Century Gothic" w:hAnsi="Century Gothic" w:cs="Times New Roman"/>
                    </w:rPr>
                  </w:pPr>
                  <w:r w:rsidRPr="002C1B07">
                    <w:rPr>
                      <w:rFonts w:ascii="Century Gothic" w:hAnsi="Century Gothic" w:cs="Times New Roman"/>
                    </w:rPr>
                    <w:t>Average credentialing approval TAT</w:t>
                  </w:r>
                </w:p>
              </w:tc>
              <w:tc>
                <w:tcPr>
                  <w:tcW w:w="3438" w:type="dxa"/>
                  <w:tcBorders>
                    <w:top w:val="nil"/>
                    <w:left w:val="nil"/>
                    <w:bottom w:val="single" w:sz="4" w:space="0" w:color="auto"/>
                    <w:right w:val="single" w:sz="4" w:space="0" w:color="auto"/>
                  </w:tcBorders>
                  <w:noWrap/>
                  <w:vAlign w:val="bottom"/>
                  <w:hideMark/>
                </w:tcPr>
                <w:p w14:paraId="263D77F4" w14:textId="77777777" w:rsidR="002C1B07" w:rsidRPr="002C1B07" w:rsidRDefault="002C1B07" w:rsidP="002C1B07">
                  <w:pPr>
                    <w:rPr>
                      <w:rFonts w:ascii="Century Gothic" w:hAnsi="Century Gothic" w:cs="Times New Roman"/>
                    </w:rPr>
                  </w:pPr>
                  <w:r w:rsidRPr="002C1B07">
                    <w:rPr>
                      <w:rFonts w:ascii="Century Gothic" w:hAnsi="Century Gothic" w:cs="Times New Roman"/>
                    </w:rPr>
                    <w:t>25.24  days</w:t>
                  </w:r>
                </w:p>
              </w:tc>
              <w:tc>
                <w:tcPr>
                  <w:tcW w:w="1192" w:type="dxa"/>
                  <w:tcBorders>
                    <w:top w:val="nil"/>
                    <w:left w:val="nil"/>
                    <w:bottom w:val="single" w:sz="4" w:space="0" w:color="auto"/>
                    <w:right w:val="single" w:sz="4" w:space="0" w:color="auto"/>
                  </w:tcBorders>
                  <w:noWrap/>
                  <w:vAlign w:val="bottom"/>
                  <w:hideMark/>
                </w:tcPr>
                <w:p w14:paraId="1F2F8D35" w14:textId="77777777" w:rsidR="002C1B07" w:rsidRPr="002C1B07" w:rsidRDefault="002C1B07" w:rsidP="002C1B07">
                  <w:pPr>
                    <w:rPr>
                      <w:rFonts w:ascii="Century Gothic" w:hAnsi="Century Gothic" w:cs="Times New Roman"/>
                    </w:rPr>
                  </w:pPr>
                  <w:r w:rsidRPr="002C1B07">
                    <w:rPr>
                      <w:rFonts w:ascii="Century Gothic" w:hAnsi="Century Gothic" w:cs="Times New Roman"/>
                    </w:rPr>
                    <w:t> </w:t>
                  </w:r>
                </w:p>
              </w:tc>
            </w:tr>
            <w:tr w:rsidR="002C1B07" w:rsidRPr="002C1B07" w14:paraId="3B723815" w14:textId="77777777" w:rsidTr="002C1B07">
              <w:trPr>
                <w:trHeight w:val="275"/>
              </w:trPr>
              <w:tc>
                <w:tcPr>
                  <w:tcW w:w="4297" w:type="dxa"/>
                  <w:tcBorders>
                    <w:top w:val="nil"/>
                    <w:left w:val="single" w:sz="4" w:space="0" w:color="auto"/>
                    <w:bottom w:val="single" w:sz="4" w:space="0" w:color="auto"/>
                    <w:right w:val="single" w:sz="4" w:space="0" w:color="auto"/>
                  </w:tcBorders>
                  <w:noWrap/>
                  <w:hideMark/>
                </w:tcPr>
                <w:p w14:paraId="4C1044DF" w14:textId="77777777" w:rsidR="002C1B07" w:rsidRPr="002C1B07" w:rsidRDefault="002C1B07" w:rsidP="002C1B07">
                  <w:pPr>
                    <w:rPr>
                      <w:rFonts w:ascii="Century Gothic" w:hAnsi="Century Gothic" w:cs="Times New Roman"/>
                    </w:rPr>
                  </w:pPr>
                  <w:r w:rsidRPr="002C1B07">
                    <w:rPr>
                      <w:rFonts w:ascii="Century Gothic" w:hAnsi="Century Gothic" w:cs="Times New Roman"/>
                    </w:rPr>
                    <w:t>Average credentialing denial TAT</w:t>
                  </w:r>
                </w:p>
              </w:tc>
              <w:tc>
                <w:tcPr>
                  <w:tcW w:w="3438" w:type="dxa"/>
                  <w:tcBorders>
                    <w:top w:val="nil"/>
                    <w:left w:val="nil"/>
                    <w:bottom w:val="single" w:sz="4" w:space="0" w:color="auto"/>
                    <w:right w:val="single" w:sz="4" w:space="0" w:color="auto"/>
                  </w:tcBorders>
                  <w:noWrap/>
                  <w:vAlign w:val="bottom"/>
                  <w:hideMark/>
                </w:tcPr>
                <w:p w14:paraId="272F0D62" w14:textId="77777777" w:rsidR="002C1B07" w:rsidRPr="002C1B07" w:rsidRDefault="002C1B07" w:rsidP="002C1B07">
                  <w:pPr>
                    <w:rPr>
                      <w:rFonts w:ascii="Century Gothic" w:hAnsi="Century Gothic" w:cs="Times New Roman"/>
                    </w:rPr>
                  </w:pPr>
                  <w:r w:rsidRPr="002C1B07">
                    <w:rPr>
                      <w:rFonts w:ascii="Century Gothic" w:hAnsi="Century Gothic" w:cs="Times New Roman"/>
                    </w:rPr>
                    <w:t>87.66 days</w:t>
                  </w:r>
                </w:p>
              </w:tc>
              <w:tc>
                <w:tcPr>
                  <w:tcW w:w="1192" w:type="dxa"/>
                  <w:tcBorders>
                    <w:top w:val="nil"/>
                    <w:left w:val="nil"/>
                    <w:bottom w:val="single" w:sz="4" w:space="0" w:color="auto"/>
                    <w:right w:val="single" w:sz="4" w:space="0" w:color="auto"/>
                  </w:tcBorders>
                  <w:noWrap/>
                  <w:vAlign w:val="bottom"/>
                  <w:hideMark/>
                </w:tcPr>
                <w:p w14:paraId="5321316E" w14:textId="77777777" w:rsidR="002C1B07" w:rsidRPr="002C1B07" w:rsidRDefault="002C1B07" w:rsidP="002C1B07">
                  <w:pPr>
                    <w:rPr>
                      <w:rFonts w:ascii="Century Gothic" w:hAnsi="Century Gothic" w:cs="Times New Roman"/>
                    </w:rPr>
                  </w:pPr>
                  <w:r w:rsidRPr="002C1B07">
                    <w:rPr>
                      <w:rFonts w:ascii="Century Gothic" w:hAnsi="Century Gothic" w:cs="Times New Roman"/>
                    </w:rPr>
                    <w:t> </w:t>
                  </w:r>
                </w:p>
              </w:tc>
            </w:tr>
            <w:tr w:rsidR="002C1B07" w:rsidRPr="002C1B07" w14:paraId="3D5CF238" w14:textId="77777777" w:rsidTr="002C1B07">
              <w:trPr>
                <w:trHeight w:val="275"/>
              </w:trPr>
              <w:tc>
                <w:tcPr>
                  <w:tcW w:w="4297" w:type="dxa"/>
                  <w:noWrap/>
                  <w:vAlign w:val="bottom"/>
                </w:tcPr>
                <w:p w14:paraId="27DE3F6B" w14:textId="77777777" w:rsidR="002C1B07" w:rsidRPr="002C1B07" w:rsidRDefault="002C1B07" w:rsidP="002C1B07">
                  <w:pPr>
                    <w:rPr>
                      <w:rFonts w:ascii="Century Gothic" w:hAnsi="Century Gothic" w:cs="Times New Roman"/>
                    </w:rPr>
                  </w:pPr>
                </w:p>
                <w:p w14:paraId="1433B1C8" w14:textId="77777777" w:rsidR="002C1B07" w:rsidRPr="002C1B07" w:rsidRDefault="002C1B07" w:rsidP="002C1B07">
                  <w:pPr>
                    <w:rPr>
                      <w:rFonts w:ascii="Century Gothic" w:hAnsi="Century Gothic" w:cs="Times New Roman"/>
                    </w:rPr>
                  </w:pPr>
                </w:p>
              </w:tc>
              <w:tc>
                <w:tcPr>
                  <w:tcW w:w="3438" w:type="dxa"/>
                  <w:noWrap/>
                  <w:vAlign w:val="bottom"/>
                  <w:hideMark/>
                </w:tcPr>
                <w:p w14:paraId="1E380B31" w14:textId="77777777" w:rsidR="002C1B07" w:rsidRPr="002C1B07" w:rsidRDefault="002C1B07" w:rsidP="002C1B07">
                  <w:pPr>
                    <w:rPr>
                      <w:rFonts w:ascii="Century Gothic" w:hAnsi="Century Gothic" w:cs="Times New Roman"/>
                    </w:rPr>
                  </w:pPr>
                </w:p>
              </w:tc>
              <w:tc>
                <w:tcPr>
                  <w:tcW w:w="1192" w:type="dxa"/>
                  <w:noWrap/>
                  <w:vAlign w:val="bottom"/>
                  <w:hideMark/>
                </w:tcPr>
                <w:p w14:paraId="67121FDB" w14:textId="77777777" w:rsidR="002C1B07" w:rsidRPr="002C1B07" w:rsidRDefault="002C1B07" w:rsidP="002C1B07">
                  <w:pPr>
                    <w:rPr>
                      <w:rFonts w:ascii="Century Gothic" w:hAnsi="Century Gothic" w:cs="Times New Roman"/>
                    </w:rPr>
                  </w:pPr>
                </w:p>
              </w:tc>
            </w:tr>
          </w:tbl>
          <w:p w14:paraId="31C52A22" w14:textId="77777777" w:rsidR="002C1B07" w:rsidRPr="002C1B07" w:rsidRDefault="002C1B07" w:rsidP="002C1B07">
            <w:pPr>
              <w:rPr>
                <w:rFonts w:ascii="Century Gothic" w:hAnsi="Century Gothic" w:cs="Times New Roman"/>
                <w:b/>
              </w:rPr>
            </w:pPr>
          </w:p>
        </w:tc>
        <w:tc>
          <w:tcPr>
            <w:tcW w:w="2524" w:type="pct"/>
            <w:tcBorders>
              <w:top w:val="single" w:sz="4" w:space="0" w:color="auto"/>
              <w:left w:val="single" w:sz="4" w:space="0" w:color="auto"/>
              <w:bottom w:val="single" w:sz="4" w:space="0" w:color="auto"/>
              <w:right w:val="single" w:sz="4" w:space="0" w:color="auto"/>
            </w:tcBorders>
          </w:tcPr>
          <w:p w14:paraId="11838DF0" w14:textId="5D4ED6FC" w:rsidR="002C1B07" w:rsidRPr="002C1B07" w:rsidRDefault="002C1B07" w:rsidP="002C1B07">
            <w:pPr>
              <w:rPr>
                <w:rFonts w:ascii="Century Gothic" w:hAnsi="Century Gothic" w:cs="Times New Roman"/>
                <w:b/>
              </w:rPr>
            </w:pPr>
            <w:r w:rsidRPr="002C1B07">
              <w:rPr>
                <w:rFonts w:ascii="Century Gothic" w:hAnsi="Century Gothic" w:cs="Times New Roman"/>
                <w:b/>
              </w:rPr>
              <w:t xml:space="preserve">In operation – data </w:t>
            </w:r>
          </w:p>
          <w:p w14:paraId="472DC589" w14:textId="23291A30" w:rsidR="002C1B07" w:rsidRPr="002C1B07" w:rsidRDefault="002C1B07" w:rsidP="002C1B07">
            <w:pPr>
              <w:rPr>
                <w:rFonts w:ascii="Century Gothic" w:hAnsi="Century Gothic" w:cs="Times New Roman"/>
                <w:b/>
              </w:rPr>
            </w:pPr>
            <w:r w:rsidRPr="002C1B07">
              <w:rPr>
                <w:rFonts w:ascii="Century Gothic" w:hAnsi="Century Gothic" w:cs="Times New Roman"/>
                <w:b/>
              </w:rPr>
              <w:t xml:space="preserve">MH/SUD: </w:t>
            </w:r>
          </w:p>
          <w:p w14:paraId="06B5EC0B" w14:textId="4536D4B3" w:rsidR="002C1B07" w:rsidRPr="002C1B07" w:rsidRDefault="002C1B07" w:rsidP="002C1B07">
            <w:pPr>
              <w:rPr>
                <w:rFonts w:ascii="Century Gothic" w:hAnsi="Century Gothic" w:cs="Times New Roman"/>
                <w:bCs/>
              </w:rPr>
            </w:pPr>
            <w:r w:rsidRPr="002C1B07">
              <w:rPr>
                <w:rFonts w:ascii="Century Gothic" w:hAnsi="Century Gothic" w:cs="Times New Roman"/>
                <w:bCs/>
              </w:rPr>
              <w:t xml:space="preserve">This comparative analysis was drafted based on Cigna Credentialing and Network Access Reporting provided below. </w:t>
            </w:r>
          </w:p>
          <w:tbl>
            <w:tblPr>
              <w:tblW w:w="8520" w:type="dxa"/>
              <w:tblLook w:val="04A0" w:firstRow="1" w:lastRow="0" w:firstColumn="1" w:lastColumn="0" w:noHBand="0" w:noVBand="1"/>
            </w:tblPr>
            <w:tblGrid>
              <w:gridCol w:w="2357"/>
              <w:gridCol w:w="2099"/>
            </w:tblGrid>
            <w:tr w:rsidR="002C1B07" w:rsidRPr="002C1B07" w14:paraId="28275780" w14:textId="77777777" w:rsidTr="002C1B07">
              <w:trPr>
                <w:trHeight w:val="378"/>
              </w:trPr>
              <w:tc>
                <w:tcPr>
                  <w:tcW w:w="4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2D0EE2"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Metric</w:t>
                  </w:r>
                </w:p>
              </w:tc>
              <w:tc>
                <w:tcPr>
                  <w:tcW w:w="4000" w:type="dxa"/>
                  <w:tcBorders>
                    <w:top w:val="single" w:sz="4" w:space="0" w:color="auto"/>
                    <w:left w:val="nil"/>
                    <w:bottom w:val="single" w:sz="4" w:space="0" w:color="auto"/>
                    <w:right w:val="single" w:sz="4" w:space="0" w:color="auto"/>
                  </w:tcBorders>
                  <w:shd w:val="clear" w:color="auto" w:fill="BFBFBF"/>
                  <w:noWrap/>
                  <w:vAlign w:val="center"/>
                  <w:hideMark/>
                </w:tcPr>
                <w:p w14:paraId="37A0A003"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Behavioral</w:t>
                  </w:r>
                </w:p>
              </w:tc>
            </w:tr>
            <w:tr w:rsidR="002C1B07" w:rsidRPr="002C1B07" w14:paraId="2CF4B242" w14:textId="77777777" w:rsidTr="002C1B07">
              <w:trPr>
                <w:trHeight w:val="1044"/>
              </w:trPr>
              <w:tc>
                <w:tcPr>
                  <w:tcW w:w="4520" w:type="dxa"/>
                  <w:tcBorders>
                    <w:top w:val="nil"/>
                    <w:left w:val="single" w:sz="4" w:space="0" w:color="auto"/>
                    <w:bottom w:val="single" w:sz="4" w:space="0" w:color="auto"/>
                    <w:right w:val="single" w:sz="4" w:space="0" w:color="auto"/>
                  </w:tcBorders>
                  <w:noWrap/>
                  <w:hideMark/>
                </w:tcPr>
                <w:p w14:paraId="08549D20"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 Time/Distance Report</w:t>
                  </w:r>
                </w:p>
              </w:tc>
              <w:tc>
                <w:tcPr>
                  <w:tcW w:w="4000" w:type="dxa"/>
                  <w:tcBorders>
                    <w:top w:val="nil"/>
                    <w:left w:val="nil"/>
                    <w:bottom w:val="single" w:sz="4" w:space="0" w:color="auto"/>
                    <w:right w:val="single" w:sz="4" w:space="0" w:color="auto"/>
                  </w:tcBorders>
                  <w:hideMark/>
                </w:tcPr>
                <w:p w14:paraId="311C7D03" w14:textId="77777777" w:rsidR="002C1B07" w:rsidRPr="002C1B07" w:rsidRDefault="002C1B07" w:rsidP="002C1B07">
                  <w:pPr>
                    <w:rPr>
                      <w:rFonts w:ascii="Century Gothic" w:hAnsi="Century Gothic" w:cs="Times New Roman"/>
                    </w:rPr>
                  </w:pPr>
                  <w:r w:rsidRPr="002C1B07">
                    <w:rPr>
                      <w:rFonts w:ascii="Century Gothic" w:hAnsi="Century Gothic" w:cs="Times New Roman"/>
                    </w:rPr>
                    <w:t>Master's Level Clinician: 97%</w:t>
                  </w:r>
                  <w:r w:rsidRPr="002C1B07">
                    <w:rPr>
                      <w:rFonts w:ascii="Century Gothic" w:hAnsi="Century Gothic" w:cs="Times New Roman"/>
                      <w:b/>
                      <w:bCs/>
                    </w:rPr>
                    <w:t xml:space="preserve"> (met) </w:t>
                  </w:r>
                  <w:r w:rsidRPr="002C1B07">
                    <w:rPr>
                      <w:rFonts w:ascii="Century Gothic" w:hAnsi="Century Gothic" w:cs="Times New Roman"/>
                    </w:rPr>
                    <w:br/>
                    <w:t xml:space="preserve">Psychologist:  83% </w:t>
                  </w:r>
                  <w:r w:rsidRPr="002C1B07">
                    <w:rPr>
                      <w:rFonts w:ascii="Century Gothic" w:hAnsi="Century Gothic" w:cs="Times New Roman"/>
                      <w:b/>
                      <w:bCs/>
                    </w:rPr>
                    <w:t>(not met)</w:t>
                  </w:r>
                  <w:r w:rsidRPr="002C1B07">
                    <w:rPr>
                      <w:rFonts w:ascii="Century Gothic" w:hAnsi="Century Gothic" w:cs="Times New Roman"/>
                    </w:rPr>
                    <w:br/>
                    <w:t xml:space="preserve">Physician 90% </w:t>
                  </w:r>
                  <w:r w:rsidRPr="002C1B07">
                    <w:rPr>
                      <w:rFonts w:ascii="Century Gothic" w:hAnsi="Century Gothic" w:cs="Times New Roman"/>
                      <w:b/>
                      <w:bCs/>
                    </w:rPr>
                    <w:t>(met)</w:t>
                  </w:r>
                </w:p>
              </w:tc>
            </w:tr>
            <w:tr w:rsidR="002C1B07" w:rsidRPr="002C1B07" w14:paraId="5EA55F50" w14:textId="77777777" w:rsidTr="002C1B07">
              <w:trPr>
                <w:trHeight w:val="3394"/>
              </w:trPr>
              <w:tc>
                <w:tcPr>
                  <w:tcW w:w="4520" w:type="dxa"/>
                  <w:tcBorders>
                    <w:top w:val="nil"/>
                    <w:left w:val="single" w:sz="4" w:space="0" w:color="auto"/>
                    <w:bottom w:val="single" w:sz="4" w:space="0" w:color="auto"/>
                    <w:right w:val="single" w:sz="4" w:space="0" w:color="auto"/>
                  </w:tcBorders>
                  <w:noWrap/>
                  <w:hideMark/>
                </w:tcPr>
                <w:p w14:paraId="42676378" w14:textId="77777777" w:rsidR="002C1B07" w:rsidRPr="002C1B07" w:rsidRDefault="002C1B07" w:rsidP="002C1B07">
                  <w:pPr>
                    <w:rPr>
                      <w:rFonts w:ascii="Century Gothic" w:hAnsi="Century Gothic" w:cs="Times New Roman"/>
                    </w:rPr>
                  </w:pPr>
                  <w:r w:rsidRPr="002C1B07">
                    <w:rPr>
                      <w:rFonts w:ascii="Century Gothic" w:hAnsi="Century Gothic" w:cs="Times New Roman"/>
                    </w:rPr>
                    <w:t>Provider/Enrollee Ratio</w:t>
                  </w:r>
                </w:p>
              </w:tc>
              <w:tc>
                <w:tcPr>
                  <w:tcW w:w="4000" w:type="dxa"/>
                  <w:tcBorders>
                    <w:top w:val="nil"/>
                    <w:left w:val="nil"/>
                    <w:bottom w:val="single" w:sz="4" w:space="0" w:color="auto"/>
                    <w:right w:val="single" w:sz="4" w:space="0" w:color="auto"/>
                  </w:tcBorders>
                  <w:vAlign w:val="bottom"/>
                  <w:hideMark/>
                </w:tcPr>
                <w:p w14:paraId="135FD61A"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Masters Ratio (1 </w:t>
                  </w:r>
                  <w:proofErr w:type="gramStart"/>
                  <w:r w:rsidRPr="002C1B07">
                    <w:rPr>
                      <w:rFonts w:ascii="Century Gothic" w:hAnsi="Century Gothic" w:cs="Times New Roman"/>
                    </w:rPr>
                    <w:t>Masters</w:t>
                  </w:r>
                  <w:proofErr w:type="gramEnd"/>
                  <w:r w:rsidRPr="002C1B07">
                    <w:rPr>
                      <w:rFonts w:ascii="Century Gothic" w:hAnsi="Century Gothic" w:cs="Times New Roman"/>
                    </w:rPr>
                    <w:t xml:space="preserve"> Level Clinician: 800 Members):  </w:t>
                  </w:r>
                  <w:r w:rsidRPr="002C1B07">
                    <w:rPr>
                      <w:rFonts w:ascii="Century Gothic" w:hAnsi="Century Gothic" w:cs="Times New Roman"/>
                      <w:b/>
                      <w:bCs/>
                    </w:rPr>
                    <w:t>Met</w:t>
                  </w:r>
                  <w:r w:rsidRPr="002C1B07">
                    <w:rPr>
                      <w:rFonts w:ascii="Century Gothic" w:hAnsi="Century Gothic" w:cs="Times New Roman"/>
                    </w:rPr>
                    <w:br/>
                    <w:t xml:space="preserve">Psychologist Ratio (1 Psychologist:  1,500 Members):  </w:t>
                  </w:r>
                  <w:r w:rsidRPr="002C1B07">
                    <w:rPr>
                      <w:rFonts w:ascii="Century Gothic" w:hAnsi="Century Gothic" w:cs="Times New Roman"/>
                      <w:b/>
                      <w:bCs/>
                    </w:rPr>
                    <w:t>Met</w:t>
                  </w:r>
                  <w:r w:rsidRPr="002C1B07">
                    <w:rPr>
                      <w:rFonts w:ascii="Century Gothic" w:hAnsi="Century Gothic" w:cs="Times New Roman"/>
                    </w:rPr>
                    <w:t xml:space="preserve"> </w:t>
                  </w:r>
                  <w:r w:rsidRPr="002C1B07">
                    <w:rPr>
                      <w:rFonts w:ascii="Century Gothic" w:hAnsi="Century Gothic" w:cs="Times New Roman"/>
                    </w:rPr>
                    <w:br/>
                    <w:t xml:space="preserve">Prescriber Ratio (1 Psychiatrist/NP: 1,500 Members): </w:t>
                  </w:r>
                  <w:r w:rsidRPr="002C1B07">
                    <w:rPr>
                      <w:rFonts w:ascii="Century Gothic" w:hAnsi="Century Gothic" w:cs="Times New Roman"/>
                      <w:b/>
                      <w:bCs/>
                    </w:rPr>
                    <w:t xml:space="preserve"> Met</w:t>
                  </w:r>
                  <w:r w:rsidRPr="002C1B07">
                    <w:rPr>
                      <w:rFonts w:ascii="Century Gothic" w:hAnsi="Century Gothic" w:cs="Times New Roman"/>
                    </w:rPr>
                    <w:br/>
                    <w:t xml:space="preserve">Inpatient Facility Ratio (1 Facility: 10,000 Members):  </w:t>
                  </w:r>
                  <w:r w:rsidRPr="002C1B07">
                    <w:rPr>
                      <w:rFonts w:ascii="Century Gothic" w:hAnsi="Century Gothic" w:cs="Times New Roman"/>
                      <w:b/>
                      <w:bCs/>
                    </w:rPr>
                    <w:t>Met</w:t>
                  </w:r>
                  <w:r w:rsidRPr="002C1B07">
                    <w:rPr>
                      <w:rFonts w:ascii="Century Gothic" w:hAnsi="Century Gothic" w:cs="Times New Roman"/>
                    </w:rPr>
                    <w:br/>
                    <w:t xml:space="preserve">Residential Facility Ratio (1 Facility: 20,000 Members):  </w:t>
                  </w:r>
                  <w:r w:rsidRPr="002C1B07">
                    <w:rPr>
                      <w:rFonts w:ascii="Century Gothic" w:hAnsi="Century Gothic" w:cs="Times New Roman"/>
                      <w:b/>
                      <w:bCs/>
                    </w:rPr>
                    <w:t>Met</w:t>
                  </w:r>
                  <w:r w:rsidRPr="002C1B07">
                    <w:rPr>
                      <w:rFonts w:ascii="Century Gothic" w:hAnsi="Century Gothic" w:cs="Times New Roman"/>
                    </w:rPr>
                    <w:br/>
                    <w:t xml:space="preserve">Ambulatory Program Ratio (1 Program: 10,000 Members):  </w:t>
                  </w:r>
                  <w:r w:rsidRPr="002C1B07">
                    <w:rPr>
                      <w:rFonts w:ascii="Century Gothic" w:hAnsi="Century Gothic" w:cs="Times New Roman"/>
                      <w:b/>
                      <w:bCs/>
                    </w:rPr>
                    <w:t>Met</w:t>
                  </w:r>
                </w:p>
              </w:tc>
            </w:tr>
          </w:tbl>
          <w:p w14:paraId="09465EED" w14:textId="77777777" w:rsidR="002C1B07" w:rsidRPr="002C1B07" w:rsidRDefault="002C1B07" w:rsidP="002C1B07">
            <w:pPr>
              <w:rPr>
                <w:rFonts w:ascii="Century Gothic" w:hAnsi="Century Gothic" w:cs="Times New Roman"/>
                <w:b/>
              </w:rPr>
            </w:pPr>
          </w:p>
          <w:tbl>
            <w:tblPr>
              <w:tblW w:w="8955" w:type="dxa"/>
              <w:tblLook w:val="04A0" w:firstRow="1" w:lastRow="0" w:firstColumn="1" w:lastColumn="0" w:noHBand="0" w:noVBand="1"/>
            </w:tblPr>
            <w:tblGrid>
              <w:gridCol w:w="2500"/>
              <w:gridCol w:w="1206"/>
              <w:gridCol w:w="750"/>
            </w:tblGrid>
            <w:tr w:rsidR="002C1B07" w:rsidRPr="002C1B07" w14:paraId="15680304" w14:textId="77777777" w:rsidTr="002C1B07">
              <w:trPr>
                <w:trHeight w:val="275"/>
              </w:trPr>
              <w:tc>
                <w:tcPr>
                  <w:tcW w:w="520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BB45BEC"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Credentialing</w:t>
                  </w:r>
                </w:p>
              </w:tc>
              <w:tc>
                <w:tcPr>
                  <w:tcW w:w="2375" w:type="dxa"/>
                  <w:tcBorders>
                    <w:top w:val="single" w:sz="4" w:space="0" w:color="auto"/>
                    <w:left w:val="nil"/>
                    <w:bottom w:val="single" w:sz="4" w:space="0" w:color="auto"/>
                    <w:right w:val="single" w:sz="4" w:space="0" w:color="auto"/>
                  </w:tcBorders>
                  <w:shd w:val="clear" w:color="auto" w:fill="D9D9D9"/>
                  <w:noWrap/>
                  <w:hideMark/>
                </w:tcPr>
                <w:p w14:paraId="013764EC"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Behavioral</w:t>
                  </w:r>
                </w:p>
              </w:tc>
              <w:tc>
                <w:tcPr>
                  <w:tcW w:w="1380" w:type="dxa"/>
                  <w:tcBorders>
                    <w:top w:val="single" w:sz="4" w:space="0" w:color="auto"/>
                    <w:left w:val="nil"/>
                    <w:bottom w:val="single" w:sz="4" w:space="0" w:color="auto"/>
                    <w:right w:val="single" w:sz="4" w:space="0" w:color="auto"/>
                  </w:tcBorders>
                  <w:shd w:val="clear" w:color="auto" w:fill="D0CECE"/>
                  <w:noWrap/>
                  <w:vAlign w:val="bottom"/>
                  <w:hideMark/>
                </w:tcPr>
                <w:p w14:paraId="452772B2"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w:t>
                  </w:r>
                </w:p>
              </w:tc>
            </w:tr>
            <w:tr w:rsidR="002C1B07" w:rsidRPr="002C1B07" w14:paraId="325F4A2E" w14:textId="77777777" w:rsidTr="002C1B07">
              <w:trPr>
                <w:trHeight w:val="275"/>
              </w:trPr>
              <w:tc>
                <w:tcPr>
                  <w:tcW w:w="5201" w:type="dxa"/>
                  <w:tcBorders>
                    <w:top w:val="nil"/>
                    <w:left w:val="single" w:sz="4" w:space="0" w:color="auto"/>
                    <w:bottom w:val="single" w:sz="4" w:space="0" w:color="auto"/>
                    <w:right w:val="single" w:sz="4" w:space="0" w:color="auto"/>
                  </w:tcBorders>
                  <w:noWrap/>
                  <w:hideMark/>
                </w:tcPr>
                <w:p w14:paraId="5248620E" w14:textId="77777777" w:rsidR="002C1B07" w:rsidRPr="002C1B07" w:rsidRDefault="002C1B07" w:rsidP="002C1B07">
                  <w:pPr>
                    <w:rPr>
                      <w:rFonts w:ascii="Century Gothic" w:hAnsi="Century Gothic" w:cs="Times New Roman"/>
                    </w:rPr>
                  </w:pPr>
                  <w:r w:rsidRPr="002C1B07">
                    <w:rPr>
                      <w:rFonts w:ascii="Century Gothic" w:hAnsi="Century Gothic" w:cs="Times New Roman"/>
                    </w:rPr>
                    <w:t>Total number of requests</w:t>
                  </w:r>
                </w:p>
              </w:tc>
              <w:tc>
                <w:tcPr>
                  <w:tcW w:w="2375" w:type="dxa"/>
                  <w:tcBorders>
                    <w:top w:val="nil"/>
                    <w:left w:val="nil"/>
                    <w:bottom w:val="single" w:sz="4" w:space="0" w:color="auto"/>
                    <w:right w:val="single" w:sz="4" w:space="0" w:color="auto"/>
                  </w:tcBorders>
                  <w:noWrap/>
                  <w:vAlign w:val="bottom"/>
                  <w:hideMark/>
                </w:tcPr>
                <w:p w14:paraId="3DE6965E"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45271 </w:t>
                  </w:r>
                </w:p>
              </w:tc>
              <w:tc>
                <w:tcPr>
                  <w:tcW w:w="1380" w:type="dxa"/>
                  <w:tcBorders>
                    <w:top w:val="nil"/>
                    <w:left w:val="nil"/>
                    <w:bottom w:val="single" w:sz="4" w:space="0" w:color="auto"/>
                    <w:right w:val="single" w:sz="4" w:space="0" w:color="auto"/>
                  </w:tcBorders>
                  <w:shd w:val="clear" w:color="auto" w:fill="000000"/>
                  <w:noWrap/>
                  <w:vAlign w:val="bottom"/>
                  <w:hideMark/>
                </w:tcPr>
                <w:p w14:paraId="52236179" w14:textId="77777777" w:rsidR="002C1B07" w:rsidRPr="002C1B07" w:rsidRDefault="002C1B07" w:rsidP="002C1B07">
                  <w:pPr>
                    <w:rPr>
                      <w:rFonts w:ascii="Century Gothic" w:hAnsi="Century Gothic" w:cs="Times New Roman"/>
                    </w:rPr>
                  </w:pPr>
                  <w:r w:rsidRPr="002C1B07">
                    <w:rPr>
                      <w:rFonts w:ascii="Century Gothic" w:hAnsi="Century Gothic" w:cs="Times New Roman"/>
                    </w:rPr>
                    <w:t> </w:t>
                  </w:r>
                </w:p>
              </w:tc>
            </w:tr>
            <w:tr w:rsidR="002C1B07" w:rsidRPr="002C1B07" w14:paraId="312EEEDA" w14:textId="77777777" w:rsidTr="002C1B07">
              <w:trPr>
                <w:trHeight w:val="261"/>
              </w:trPr>
              <w:tc>
                <w:tcPr>
                  <w:tcW w:w="5201" w:type="dxa"/>
                  <w:tcBorders>
                    <w:top w:val="nil"/>
                    <w:left w:val="single" w:sz="4" w:space="0" w:color="auto"/>
                    <w:bottom w:val="single" w:sz="4" w:space="0" w:color="auto"/>
                    <w:right w:val="single" w:sz="4" w:space="0" w:color="auto"/>
                  </w:tcBorders>
                  <w:noWrap/>
                  <w:hideMark/>
                </w:tcPr>
                <w:p w14:paraId="0CAD9DC8" w14:textId="77777777" w:rsidR="002C1B07" w:rsidRPr="002C1B07" w:rsidRDefault="002C1B07" w:rsidP="002C1B07">
                  <w:pPr>
                    <w:rPr>
                      <w:rFonts w:ascii="Century Gothic" w:hAnsi="Century Gothic" w:cs="Times New Roman"/>
                    </w:rPr>
                  </w:pPr>
                  <w:r w:rsidRPr="002C1B07">
                    <w:rPr>
                      <w:rFonts w:ascii="Century Gothic" w:hAnsi="Century Gothic" w:cs="Times New Roman"/>
                    </w:rPr>
                    <w:t>Total approved</w:t>
                  </w:r>
                </w:p>
              </w:tc>
              <w:tc>
                <w:tcPr>
                  <w:tcW w:w="2375" w:type="dxa"/>
                  <w:tcBorders>
                    <w:top w:val="nil"/>
                    <w:left w:val="nil"/>
                    <w:bottom w:val="single" w:sz="4" w:space="0" w:color="auto"/>
                    <w:right w:val="single" w:sz="4" w:space="0" w:color="auto"/>
                  </w:tcBorders>
                  <w:noWrap/>
                  <w:vAlign w:val="bottom"/>
                  <w:hideMark/>
                </w:tcPr>
                <w:p w14:paraId="7B8AB7AD"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45211 </w:t>
                  </w:r>
                </w:p>
              </w:tc>
              <w:tc>
                <w:tcPr>
                  <w:tcW w:w="1380" w:type="dxa"/>
                  <w:tcBorders>
                    <w:top w:val="nil"/>
                    <w:left w:val="nil"/>
                    <w:bottom w:val="single" w:sz="4" w:space="0" w:color="auto"/>
                    <w:right w:val="single" w:sz="4" w:space="0" w:color="auto"/>
                  </w:tcBorders>
                  <w:noWrap/>
                  <w:vAlign w:val="bottom"/>
                  <w:hideMark/>
                </w:tcPr>
                <w:p w14:paraId="13B566A1" w14:textId="77777777" w:rsidR="002C1B07" w:rsidRPr="002C1B07" w:rsidRDefault="002C1B07" w:rsidP="002C1B07">
                  <w:pPr>
                    <w:rPr>
                      <w:rFonts w:ascii="Century Gothic" w:hAnsi="Century Gothic" w:cs="Times New Roman"/>
                    </w:rPr>
                  </w:pPr>
                  <w:r w:rsidRPr="002C1B07">
                    <w:rPr>
                      <w:rFonts w:ascii="Century Gothic" w:hAnsi="Century Gothic" w:cs="Times New Roman"/>
                    </w:rPr>
                    <w:t>99.87%</w:t>
                  </w:r>
                </w:p>
              </w:tc>
            </w:tr>
            <w:tr w:rsidR="002C1B07" w:rsidRPr="002C1B07" w14:paraId="7AF8BDAF" w14:textId="77777777" w:rsidTr="002C1B07">
              <w:trPr>
                <w:trHeight w:val="275"/>
              </w:trPr>
              <w:tc>
                <w:tcPr>
                  <w:tcW w:w="5201" w:type="dxa"/>
                  <w:tcBorders>
                    <w:top w:val="nil"/>
                    <w:left w:val="single" w:sz="4" w:space="0" w:color="auto"/>
                    <w:bottom w:val="single" w:sz="4" w:space="0" w:color="auto"/>
                    <w:right w:val="single" w:sz="4" w:space="0" w:color="auto"/>
                  </w:tcBorders>
                  <w:noWrap/>
                  <w:hideMark/>
                </w:tcPr>
                <w:p w14:paraId="708DFC28" w14:textId="77777777" w:rsidR="002C1B07" w:rsidRPr="002C1B07" w:rsidRDefault="002C1B07" w:rsidP="002C1B07">
                  <w:pPr>
                    <w:rPr>
                      <w:rFonts w:ascii="Century Gothic" w:hAnsi="Century Gothic" w:cs="Times New Roman"/>
                    </w:rPr>
                  </w:pPr>
                  <w:r w:rsidRPr="002C1B07">
                    <w:rPr>
                      <w:rFonts w:ascii="Century Gothic" w:hAnsi="Century Gothic" w:cs="Times New Roman"/>
                    </w:rPr>
                    <w:t>Total denied</w:t>
                  </w:r>
                </w:p>
              </w:tc>
              <w:tc>
                <w:tcPr>
                  <w:tcW w:w="2375" w:type="dxa"/>
                  <w:tcBorders>
                    <w:top w:val="nil"/>
                    <w:left w:val="nil"/>
                    <w:bottom w:val="single" w:sz="4" w:space="0" w:color="auto"/>
                    <w:right w:val="single" w:sz="4" w:space="0" w:color="auto"/>
                  </w:tcBorders>
                  <w:noWrap/>
                  <w:vAlign w:val="bottom"/>
                  <w:hideMark/>
                </w:tcPr>
                <w:p w14:paraId="120F7801"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60 </w:t>
                  </w:r>
                </w:p>
              </w:tc>
              <w:tc>
                <w:tcPr>
                  <w:tcW w:w="1380" w:type="dxa"/>
                  <w:tcBorders>
                    <w:top w:val="nil"/>
                    <w:left w:val="nil"/>
                    <w:bottom w:val="single" w:sz="4" w:space="0" w:color="auto"/>
                    <w:right w:val="single" w:sz="4" w:space="0" w:color="auto"/>
                  </w:tcBorders>
                  <w:noWrap/>
                  <w:vAlign w:val="bottom"/>
                  <w:hideMark/>
                </w:tcPr>
                <w:p w14:paraId="767B805F" w14:textId="77777777" w:rsidR="002C1B07" w:rsidRPr="002C1B07" w:rsidRDefault="002C1B07" w:rsidP="002C1B07">
                  <w:pPr>
                    <w:rPr>
                      <w:rFonts w:ascii="Century Gothic" w:hAnsi="Century Gothic" w:cs="Times New Roman"/>
                    </w:rPr>
                  </w:pPr>
                  <w:r w:rsidRPr="002C1B07">
                    <w:rPr>
                      <w:rFonts w:ascii="Century Gothic" w:hAnsi="Century Gothic" w:cs="Times New Roman"/>
                    </w:rPr>
                    <w:t>0.13%</w:t>
                  </w:r>
                </w:p>
              </w:tc>
            </w:tr>
            <w:tr w:rsidR="002C1B07" w:rsidRPr="002C1B07" w14:paraId="78255AEF" w14:textId="77777777" w:rsidTr="002C1B07">
              <w:trPr>
                <w:trHeight w:val="275"/>
              </w:trPr>
              <w:tc>
                <w:tcPr>
                  <w:tcW w:w="5201" w:type="dxa"/>
                  <w:tcBorders>
                    <w:top w:val="nil"/>
                    <w:left w:val="single" w:sz="4" w:space="0" w:color="auto"/>
                    <w:bottom w:val="single" w:sz="4" w:space="0" w:color="auto"/>
                    <w:right w:val="single" w:sz="4" w:space="0" w:color="auto"/>
                  </w:tcBorders>
                  <w:noWrap/>
                  <w:hideMark/>
                </w:tcPr>
                <w:p w14:paraId="3391E879" w14:textId="77777777" w:rsidR="002C1B07" w:rsidRPr="002C1B07" w:rsidRDefault="002C1B07" w:rsidP="002C1B07">
                  <w:pPr>
                    <w:rPr>
                      <w:rFonts w:ascii="Century Gothic" w:hAnsi="Century Gothic" w:cs="Times New Roman"/>
                    </w:rPr>
                  </w:pPr>
                  <w:r w:rsidRPr="002C1B07">
                    <w:rPr>
                      <w:rFonts w:ascii="Century Gothic" w:hAnsi="Century Gothic" w:cs="Times New Roman"/>
                    </w:rPr>
                    <w:t>Total number of denials appealed</w:t>
                  </w:r>
                </w:p>
              </w:tc>
              <w:tc>
                <w:tcPr>
                  <w:tcW w:w="2375" w:type="dxa"/>
                  <w:tcBorders>
                    <w:top w:val="nil"/>
                    <w:left w:val="nil"/>
                    <w:bottom w:val="single" w:sz="4" w:space="0" w:color="auto"/>
                    <w:right w:val="single" w:sz="4" w:space="0" w:color="auto"/>
                  </w:tcBorders>
                  <w:noWrap/>
                  <w:vAlign w:val="bottom"/>
                  <w:hideMark/>
                </w:tcPr>
                <w:p w14:paraId="7F903435"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2 </w:t>
                  </w:r>
                </w:p>
              </w:tc>
              <w:tc>
                <w:tcPr>
                  <w:tcW w:w="1380" w:type="dxa"/>
                  <w:tcBorders>
                    <w:top w:val="nil"/>
                    <w:left w:val="nil"/>
                    <w:bottom w:val="single" w:sz="4" w:space="0" w:color="auto"/>
                    <w:right w:val="single" w:sz="4" w:space="0" w:color="auto"/>
                  </w:tcBorders>
                  <w:noWrap/>
                  <w:vAlign w:val="bottom"/>
                  <w:hideMark/>
                </w:tcPr>
                <w:p w14:paraId="5A2FD5AE" w14:textId="77777777" w:rsidR="002C1B07" w:rsidRPr="002C1B07" w:rsidRDefault="002C1B07" w:rsidP="002C1B07">
                  <w:pPr>
                    <w:rPr>
                      <w:rFonts w:ascii="Century Gothic" w:hAnsi="Century Gothic" w:cs="Times New Roman"/>
                    </w:rPr>
                  </w:pPr>
                  <w:r w:rsidRPr="002C1B07">
                    <w:rPr>
                      <w:rFonts w:ascii="Century Gothic" w:hAnsi="Century Gothic" w:cs="Times New Roman"/>
                    </w:rPr>
                    <w:t>0.03%</w:t>
                  </w:r>
                </w:p>
              </w:tc>
            </w:tr>
            <w:tr w:rsidR="002C1B07" w:rsidRPr="002C1B07" w14:paraId="09EDC990" w14:textId="77777777" w:rsidTr="002C1B07">
              <w:trPr>
                <w:trHeight w:val="275"/>
              </w:trPr>
              <w:tc>
                <w:tcPr>
                  <w:tcW w:w="5201" w:type="dxa"/>
                  <w:tcBorders>
                    <w:top w:val="nil"/>
                    <w:left w:val="single" w:sz="4" w:space="0" w:color="auto"/>
                    <w:bottom w:val="single" w:sz="4" w:space="0" w:color="auto"/>
                    <w:right w:val="single" w:sz="4" w:space="0" w:color="auto"/>
                  </w:tcBorders>
                  <w:noWrap/>
                  <w:vAlign w:val="bottom"/>
                  <w:hideMark/>
                </w:tcPr>
                <w:p w14:paraId="4C1E8426" w14:textId="77777777" w:rsidR="002C1B07" w:rsidRPr="002C1B07" w:rsidRDefault="002C1B07" w:rsidP="002C1B07">
                  <w:pPr>
                    <w:rPr>
                      <w:rFonts w:ascii="Century Gothic" w:hAnsi="Century Gothic" w:cs="Times New Roman"/>
                    </w:rPr>
                  </w:pPr>
                  <w:r w:rsidRPr="002C1B07">
                    <w:rPr>
                      <w:rFonts w:ascii="Century Gothic" w:hAnsi="Century Gothic" w:cs="Times New Roman"/>
                    </w:rPr>
                    <w:t>Number of appeals overturned</w:t>
                  </w:r>
                </w:p>
              </w:tc>
              <w:tc>
                <w:tcPr>
                  <w:tcW w:w="2375" w:type="dxa"/>
                  <w:tcBorders>
                    <w:top w:val="nil"/>
                    <w:left w:val="nil"/>
                    <w:bottom w:val="single" w:sz="4" w:space="0" w:color="auto"/>
                    <w:right w:val="single" w:sz="4" w:space="0" w:color="auto"/>
                  </w:tcBorders>
                  <w:noWrap/>
                  <w:vAlign w:val="bottom"/>
                  <w:hideMark/>
                </w:tcPr>
                <w:p w14:paraId="49C0936D"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1 </w:t>
                  </w:r>
                </w:p>
              </w:tc>
              <w:tc>
                <w:tcPr>
                  <w:tcW w:w="1380" w:type="dxa"/>
                  <w:tcBorders>
                    <w:top w:val="nil"/>
                    <w:left w:val="nil"/>
                    <w:bottom w:val="single" w:sz="4" w:space="0" w:color="auto"/>
                    <w:right w:val="single" w:sz="4" w:space="0" w:color="auto"/>
                  </w:tcBorders>
                  <w:noWrap/>
                  <w:vAlign w:val="bottom"/>
                  <w:hideMark/>
                </w:tcPr>
                <w:p w14:paraId="7BE48C78" w14:textId="77777777" w:rsidR="002C1B07" w:rsidRPr="002C1B07" w:rsidRDefault="002C1B07" w:rsidP="002C1B07">
                  <w:pPr>
                    <w:rPr>
                      <w:rFonts w:ascii="Century Gothic" w:hAnsi="Century Gothic" w:cs="Times New Roman"/>
                    </w:rPr>
                  </w:pPr>
                  <w:r w:rsidRPr="002C1B07">
                    <w:rPr>
                      <w:rFonts w:ascii="Century Gothic" w:hAnsi="Century Gothic" w:cs="Times New Roman"/>
                    </w:rPr>
                    <w:t>0.17%</w:t>
                  </w:r>
                </w:p>
              </w:tc>
            </w:tr>
            <w:tr w:rsidR="002C1B07" w:rsidRPr="002C1B07" w14:paraId="04C11F58" w14:textId="77777777" w:rsidTr="002C1B07">
              <w:trPr>
                <w:trHeight w:val="275"/>
              </w:trPr>
              <w:tc>
                <w:tcPr>
                  <w:tcW w:w="5201" w:type="dxa"/>
                  <w:tcBorders>
                    <w:top w:val="nil"/>
                    <w:left w:val="single" w:sz="4" w:space="0" w:color="auto"/>
                    <w:bottom w:val="single" w:sz="4" w:space="0" w:color="auto"/>
                    <w:right w:val="single" w:sz="4" w:space="0" w:color="auto"/>
                  </w:tcBorders>
                  <w:noWrap/>
                  <w:vAlign w:val="bottom"/>
                  <w:hideMark/>
                </w:tcPr>
                <w:p w14:paraId="025A576F" w14:textId="77777777" w:rsidR="002C1B07" w:rsidRPr="002C1B07" w:rsidRDefault="002C1B07" w:rsidP="002C1B07">
                  <w:pPr>
                    <w:rPr>
                      <w:rFonts w:ascii="Century Gothic" w:hAnsi="Century Gothic" w:cs="Times New Roman"/>
                    </w:rPr>
                  </w:pPr>
                  <w:r w:rsidRPr="002C1B07">
                    <w:rPr>
                      <w:rFonts w:ascii="Century Gothic" w:hAnsi="Century Gothic" w:cs="Times New Roman"/>
                    </w:rPr>
                    <w:t>Number of appeals upheld</w:t>
                  </w:r>
                </w:p>
              </w:tc>
              <w:tc>
                <w:tcPr>
                  <w:tcW w:w="2375" w:type="dxa"/>
                  <w:tcBorders>
                    <w:top w:val="nil"/>
                    <w:left w:val="nil"/>
                    <w:bottom w:val="single" w:sz="4" w:space="0" w:color="auto"/>
                    <w:right w:val="single" w:sz="4" w:space="0" w:color="auto"/>
                  </w:tcBorders>
                  <w:noWrap/>
                  <w:vAlign w:val="bottom"/>
                  <w:hideMark/>
                </w:tcPr>
                <w:p w14:paraId="5ED8E0B0"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1 </w:t>
                  </w:r>
                </w:p>
              </w:tc>
              <w:tc>
                <w:tcPr>
                  <w:tcW w:w="1380" w:type="dxa"/>
                  <w:tcBorders>
                    <w:top w:val="nil"/>
                    <w:left w:val="nil"/>
                    <w:bottom w:val="single" w:sz="4" w:space="0" w:color="auto"/>
                    <w:right w:val="single" w:sz="4" w:space="0" w:color="auto"/>
                  </w:tcBorders>
                  <w:noWrap/>
                  <w:vAlign w:val="bottom"/>
                  <w:hideMark/>
                </w:tcPr>
                <w:p w14:paraId="4130B5F4" w14:textId="77777777" w:rsidR="002C1B07" w:rsidRPr="002C1B07" w:rsidRDefault="002C1B07" w:rsidP="002C1B07">
                  <w:pPr>
                    <w:rPr>
                      <w:rFonts w:ascii="Century Gothic" w:hAnsi="Century Gothic" w:cs="Times New Roman"/>
                    </w:rPr>
                  </w:pPr>
                  <w:r w:rsidRPr="002C1B07">
                    <w:rPr>
                      <w:rFonts w:ascii="Century Gothic" w:hAnsi="Century Gothic" w:cs="Times New Roman"/>
                    </w:rPr>
                    <w:t>0.17%</w:t>
                  </w:r>
                </w:p>
              </w:tc>
            </w:tr>
            <w:tr w:rsidR="002C1B07" w:rsidRPr="002C1B07" w14:paraId="3DA1E136" w14:textId="77777777" w:rsidTr="002C1B07">
              <w:trPr>
                <w:trHeight w:val="1377"/>
              </w:trPr>
              <w:tc>
                <w:tcPr>
                  <w:tcW w:w="5201" w:type="dxa"/>
                  <w:tcBorders>
                    <w:top w:val="nil"/>
                    <w:left w:val="single" w:sz="4" w:space="0" w:color="auto"/>
                    <w:bottom w:val="single" w:sz="4" w:space="0" w:color="auto"/>
                    <w:right w:val="single" w:sz="4" w:space="0" w:color="auto"/>
                  </w:tcBorders>
                  <w:noWrap/>
                  <w:hideMark/>
                </w:tcPr>
                <w:p w14:paraId="7FDC344D" w14:textId="77777777" w:rsidR="002C1B07" w:rsidRPr="002C1B07" w:rsidRDefault="002C1B07" w:rsidP="002C1B07">
                  <w:pPr>
                    <w:rPr>
                      <w:rFonts w:ascii="Century Gothic" w:hAnsi="Century Gothic" w:cs="Times New Roman"/>
                    </w:rPr>
                  </w:pPr>
                  <w:r w:rsidRPr="002C1B07">
                    <w:rPr>
                      <w:rFonts w:ascii="Century Gothic" w:hAnsi="Century Gothic" w:cs="Times New Roman"/>
                    </w:rPr>
                    <w:t>List Top 5  Credentialing  Denial Reasons</w:t>
                  </w:r>
                </w:p>
              </w:tc>
              <w:tc>
                <w:tcPr>
                  <w:tcW w:w="2375" w:type="dxa"/>
                  <w:tcBorders>
                    <w:top w:val="nil"/>
                    <w:left w:val="nil"/>
                    <w:bottom w:val="single" w:sz="4" w:space="0" w:color="auto"/>
                    <w:right w:val="single" w:sz="4" w:space="0" w:color="auto"/>
                  </w:tcBorders>
                  <w:hideMark/>
                </w:tcPr>
                <w:p w14:paraId="3DCF7D29" w14:textId="77777777" w:rsidR="002C1B07" w:rsidRPr="002C1B07" w:rsidRDefault="002C1B07" w:rsidP="002C1B07">
                  <w:pPr>
                    <w:rPr>
                      <w:rFonts w:ascii="Century Gothic" w:hAnsi="Century Gothic" w:cs="Times New Roman"/>
                    </w:rPr>
                  </w:pPr>
                  <w:r w:rsidRPr="002C1B07">
                    <w:rPr>
                      <w:rFonts w:ascii="Century Gothic" w:hAnsi="Century Gothic" w:cs="Times New Roman"/>
                    </w:rPr>
                    <w:t>1. License Issue</w:t>
                  </w:r>
                  <w:r w:rsidRPr="002C1B07">
                    <w:rPr>
                      <w:rFonts w:ascii="Century Gothic" w:hAnsi="Century Gothic" w:cs="Times New Roman"/>
                    </w:rPr>
                    <w:br/>
                    <w:t>2. Malpractice Issue</w:t>
                  </w:r>
                  <w:r w:rsidRPr="002C1B07">
                    <w:rPr>
                      <w:rFonts w:ascii="Century Gothic" w:hAnsi="Century Gothic" w:cs="Times New Roman"/>
                    </w:rPr>
                    <w:br/>
                    <w:t xml:space="preserve">3. </w:t>
                  </w:r>
                  <w:r w:rsidRPr="002C1B07">
                    <w:rPr>
                      <w:rFonts w:ascii="Century Gothic" w:hAnsi="Century Gothic" w:cs="Times New Roman"/>
                    </w:rPr>
                    <w:br/>
                    <w:t xml:space="preserve">4. </w:t>
                  </w:r>
                  <w:r w:rsidRPr="002C1B07">
                    <w:rPr>
                      <w:rFonts w:ascii="Century Gothic" w:hAnsi="Century Gothic" w:cs="Times New Roman"/>
                    </w:rPr>
                    <w:br/>
                    <w:t xml:space="preserve">5. </w:t>
                  </w:r>
                </w:p>
              </w:tc>
              <w:tc>
                <w:tcPr>
                  <w:tcW w:w="1380" w:type="dxa"/>
                  <w:tcBorders>
                    <w:top w:val="nil"/>
                    <w:left w:val="nil"/>
                    <w:bottom w:val="single" w:sz="4" w:space="0" w:color="auto"/>
                    <w:right w:val="single" w:sz="4" w:space="0" w:color="auto"/>
                  </w:tcBorders>
                  <w:noWrap/>
                  <w:vAlign w:val="bottom"/>
                  <w:hideMark/>
                </w:tcPr>
                <w:p w14:paraId="5C016C3A" w14:textId="77777777" w:rsidR="002C1B07" w:rsidRPr="002C1B07" w:rsidRDefault="002C1B07" w:rsidP="002C1B07">
                  <w:pPr>
                    <w:rPr>
                      <w:rFonts w:ascii="Century Gothic" w:hAnsi="Century Gothic" w:cs="Times New Roman"/>
                    </w:rPr>
                  </w:pPr>
                  <w:r w:rsidRPr="002C1B07">
                    <w:rPr>
                      <w:rFonts w:ascii="Century Gothic" w:hAnsi="Century Gothic" w:cs="Times New Roman"/>
                    </w:rPr>
                    <w:t> </w:t>
                  </w:r>
                </w:p>
              </w:tc>
            </w:tr>
            <w:tr w:rsidR="002C1B07" w:rsidRPr="002C1B07" w14:paraId="4896BC70" w14:textId="77777777" w:rsidTr="002C1B07">
              <w:trPr>
                <w:trHeight w:val="275"/>
              </w:trPr>
              <w:tc>
                <w:tcPr>
                  <w:tcW w:w="5201" w:type="dxa"/>
                  <w:tcBorders>
                    <w:top w:val="nil"/>
                    <w:left w:val="single" w:sz="4" w:space="0" w:color="auto"/>
                    <w:bottom w:val="single" w:sz="4" w:space="0" w:color="auto"/>
                    <w:right w:val="single" w:sz="4" w:space="0" w:color="auto"/>
                  </w:tcBorders>
                  <w:noWrap/>
                  <w:hideMark/>
                </w:tcPr>
                <w:p w14:paraId="06499CED" w14:textId="77777777" w:rsidR="002C1B07" w:rsidRPr="002C1B07" w:rsidRDefault="002C1B07" w:rsidP="002C1B07">
                  <w:pPr>
                    <w:rPr>
                      <w:rFonts w:ascii="Century Gothic" w:hAnsi="Century Gothic" w:cs="Times New Roman"/>
                    </w:rPr>
                  </w:pPr>
                  <w:r w:rsidRPr="002C1B07">
                    <w:rPr>
                      <w:rFonts w:ascii="Century Gothic" w:hAnsi="Century Gothic" w:cs="Times New Roman"/>
                    </w:rPr>
                    <w:t>Average credentialing approval TAT</w:t>
                  </w:r>
                </w:p>
              </w:tc>
              <w:tc>
                <w:tcPr>
                  <w:tcW w:w="2375" w:type="dxa"/>
                  <w:tcBorders>
                    <w:top w:val="nil"/>
                    <w:left w:val="nil"/>
                    <w:bottom w:val="single" w:sz="4" w:space="0" w:color="auto"/>
                    <w:right w:val="single" w:sz="4" w:space="0" w:color="auto"/>
                  </w:tcBorders>
                  <w:noWrap/>
                  <w:vAlign w:val="bottom"/>
                  <w:hideMark/>
                </w:tcPr>
                <w:p w14:paraId="5115EE70" w14:textId="77777777" w:rsidR="002C1B07" w:rsidRPr="002C1B07" w:rsidRDefault="002C1B07" w:rsidP="002C1B07">
                  <w:pPr>
                    <w:rPr>
                      <w:rFonts w:ascii="Century Gothic" w:hAnsi="Century Gothic" w:cs="Times New Roman"/>
                    </w:rPr>
                  </w:pPr>
                  <w:r w:rsidRPr="002C1B07">
                    <w:rPr>
                      <w:rFonts w:ascii="Century Gothic" w:hAnsi="Century Gothic" w:cs="Times New Roman"/>
                    </w:rPr>
                    <w:t>21.95 days</w:t>
                  </w:r>
                </w:p>
              </w:tc>
              <w:tc>
                <w:tcPr>
                  <w:tcW w:w="1380" w:type="dxa"/>
                  <w:tcBorders>
                    <w:top w:val="nil"/>
                    <w:left w:val="nil"/>
                    <w:bottom w:val="single" w:sz="4" w:space="0" w:color="auto"/>
                    <w:right w:val="single" w:sz="4" w:space="0" w:color="auto"/>
                  </w:tcBorders>
                  <w:noWrap/>
                  <w:vAlign w:val="bottom"/>
                  <w:hideMark/>
                </w:tcPr>
                <w:p w14:paraId="51691D52" w14:textId="77777777" w:rsidR="002C1B07" w:rsidRPr="002C1B07" w:rsidRDefault="002C1B07" w:rsidP="002C1B07">
                  <w:pPr>
                    <w:rPr>
                      <w:rFonts w:ascii="Century Gothic" w:hAnsi="Century Gothic" w:cs="Times New Roman"/>
                    </w:rPr>
                  </w:pPr>
                  <w:r w:rsidRPr="002C1B07">
                    <w:rPr>
                      <w:rFonts w:ascii="Century Gothic" w:hAnsi="Century Gothic" w:cs="Times New Roman"/>
                    </w:rPr>
                    <w:t> </w:t>
                  </w:r>
                </w:p>
              </w:tc>
            </w:tr>
            <w:tr w:rsidR="002C1B07" w:rsidRPr="002C1B07" w14:paraId="75FD87FF" w14:textId="77777777" w:rsidTr="002C1B07">
              <w:trPr>
                <w:trHeight w:val="275"/>
              </w:trPr>
              <w:tc>
                <w:tcPr>
                  <w:tcW w:w="5201" w:type="dxa"/>
                  <w:tcBorders>
                    <w:top w:val="nil"/>
                    <w:left w:val="single" w:sz="4" w:space="0" w:color="auto"/>
                    <w:bottom w:val="single" w:sz="4" w:space="0" w:color="auto"/>
                    <w:right w:val="single" w:sz="4" w:space="0" w:color="auto"/>
                  </w:tcBorders>
                  <w:noWrap/>
                  <w:hideMark/>
                </w:tcPr>
                <w:p w14:paraId="59C7F2DF" w14:textId="77777777" w:rsidR="002C1B07" w:rsidRPr="002C1B07" w:rsidRDefault="002C1B07" w:rsidP="002C1B07">
                  <w:pPr>
                    <w:rPr>
                      <w:rFonts w:ascii="Century Gothic" w:hAnsi="Century Gothic" w:cs="Times New Roman"/>
                    </w:rPr>
                  </w:pPr>
                  <w:r w:rsidRPr="002C1B07">
                    <w:rPr>
                      <w:rFonts w:ascii="Century Gothic" w:hAnsi="Century Gothic" w:cs="Times New Roman"/>
                    </w:rPr>
                    <w:t>Average credentialing denial TAT</w:t>
                  </w:r>
                </w:p>
              </w:tc>
              <w:tc>
                <w:tcPr>
                  <w:tcW w:w="2375" w:type="dxa"/>
                  <w:tcBorders>
                    <w:top w:val="nil"/>
                    <w:left w:val="nil"/>
                    <w:bottom w:val="single" w:sz="4" w:space="0" w:color="auto"/>
                    <w:right w:val="single" w:sz="4" w:space="0" w:color="auto"/>
                  </w:tcBorders>
                  <w:noWrap/>
                  <w:vAlign w:val="bottom"/>
                  <w:hideMark/>
                </w:tcPr>
                <w:p w14:paraId="66BD3B36"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 87.86 days</w:t>
                  </w:r>
                </w:p>
              </w:tc>
              <w:tc>
                <w:tcPr>
                  <w:tcW w:w="1380" w:type="dxa"/>
                  <w:tcBorders>
                    <w:top w:val="nil"/>
                    <w:left w:val="nil"/>
                    <w:bottom w:val="single" w:sz="4" w:space="0" w:color="auto"/>
                    <w:right w:val="single" w:sz="4" w:space="0" w:color="auto"/>
                  </w:tcBorders>
                  <w:noWrap/>
                  <w:vAlign w:val="bottom"/>
                  <w:hideMark/>
                </w:tcPr>
                <w:p w14:paraId="04957D88" w14:textId="77777777" w:rsidR="002C1B07" w:rsidRPr="002C1B07" w:rsidRDefault="002C1B07" w:rsidP="002C1B07">
                  <w:pPr>
                    <w:rPr>
                      <w:rFonts w:ascii="Century Gothic" w:hAnsi="Century Gothic" w:cs="Times New Roman"/>
                    </w:rPr>
                  </w:pPr>
                  <w:r w:rsidRPr="002C1B07">
                    <w:rPr>
                      <w:rFonts w:ascii="Century Gothic" w:hAnsi="Century Gothic" w:cs="Times New Roman"/>
                    </w:rPr>
                    <w:t> </w:t>
                  </w:r>
                </w:p>
              </w:tc>
            </w:tr>
          </w:tbl>
          <w:p w14:paraId="1A572751" w14:textId="77777777" w:rsidR="002C1B07" w:rsidRPr="002C1B07" w:rsidRDefault="002C1B07" w:rsidP="002C1B07">
            <w:pPr>
              <w:rPr>
                <w:rFonts w:ascii="Century Gothic" w:hAnsi="Century Gothic" w:cs="Times New Roman"/>
                <w:b/>
              </w:rPr>
            </w:pPr>
          </w:p>
        </w:tc>
      </w:tr>
      <w:tr w:rsidR="002C1B07" w:rsidRPr="002C1B07" w14:paraId="7C516887" w14:textId="77777777" w:rsidTr="002C1B07">
        <w:trPr>
          <w:trHeight w:val="82"/>
        </w:trPr>
        <w:tc>
          <w:tcPr>
            <w:tcW w:w="5000" w:type="pct"/>
            <w:gridSpan w:val="2"/>
            <w:tcBorders>
              <w:top w:val="single" w:sz="4" w:space="0" w:color="auto"/>
              <w:left w:val="single" w:sz="4" w:space="0" w:color="auto"/>
              <w:bottom w:val="single" w:sz="4" w:space="0" w:color="auto"/>
              <w:right w:val="single" w:sz="4" w:space="0" w:color="auto"/>
            </w:tcBorders>
          </w:tcPr>
          <w:p w14:paraId="3C45FEE9" w14:textId="77777777" w:rsidR="002C1B07" w:rsidRPr="002C1B07" w:rsidRDefault="002C1B07" w:rsidP="002C1B07">
            <w:pPr>
              <w:rPr>
                <w:rFonts w:ascii="Century Gothic" w:hAnsi="Century Gothic" w:cs="Times New Roman"/>
                <w:b/>
              </w:rPr>
            </w:pPr>
            <w:r w:rsidRPr="002C1B07">
              <w:rPr>
                <w:rFonts w:ascii="Century Gothic" w:hAnsi="Century Gothic" w:cs="Times New Roman"/>
                <w:b/>
              </w:rPr>
              <w:t>WELLFLEET</w:t>
            </w:r>
          </w:p>
          <w:p w14:paraId="64510FCD" w14:textId="77777777" w:rsidR="002C1B07" w:rsidRPr="002C1B07" w:rsidRDefault="002C1B07" w:rsidP="002C1B07">
            <w:pPr>
              <w:rPr>
                <w:rFonts w:ascii="Century Gothic" w:hAnsi="Century Gothic" w:cs="Times New Roman"/>
              </w:rPr>
            </w:pPr>
            <w:r w:rsidRPr="002C1B07">
              <w:rPr>
                <w:rFonts w:ascii="Century Gothic" w:hAnsi="Century Gothic" w:cs="Times New Roman"/>
              </w:rPr>
              <w:t xml:space="preserve">Wellfleet performed a comparison of average out of network claims payments during calendar year 2023 as a percentage of Medicare rates for the Wellfleet book of business for nine (9) CPT codes across three (3) </w:t>
            </w:r>
            <w:proofErr w:type="spellStart"/>
            <w:r w:rsidRPr="002C1B07">
              <w:rPr>
                <w:rFonts w:ascii="Century Gothic" w:hAnsi="Century Gothic" w:cs="Times New Roman"/>
              </w:rPr>
              <w:t>MedSurg</w:t>
            </w:r>
            <w:proofErr w:type="spellEnd"/>
            <w:r w:rsidRPr="002C1B07">
              <w:rPr>
                <w:rFonts w:ascii="Century Gothic" w:hAnsi="Century Gothic" w:cs="Times New Roman"/>
              </w:rPr>
              <w:t xml:space="preserve"> primary care physician types, five (5) </w:t>
            </w:r>
            <w:proofErr w:type="spellStart"/>
            <w:r w:rsidRPr="002C1B07">
              <w:rPr>
                <w:rFonts w:ascii="Century Gothic" w:hAnsi="Century Gothic" w:cs="Times New Roman"/>
              </w:rPr>
              <w:t>MedSurg</w:t>
            </w:r>
            <w:proofErr w:type="spellEnd"/>
            <w:r w:rsidRPr="002C1B07">
              <w:rPr>
                <w:rFonts w:ascii="Century Gothic" w:hAnsi="Century Gothic" w:cs="Times New Roman"/>
              </w:rPr>
              <w:t xml:space="preserve"> physician specialty types, four (4) </w:t>
            </w:r>
            <w:proofErr w:type="spellStart"/>
            <w:r w:rsidRPr="002C1B07">
              <w:rPr>
                <w:rFonts w:ascii="Century Gothic" w:hAnsi="Century Gothic" w:cs="Times New Roman"/>
              </w:rPr>
              <w:t>MedSurg</w:t>
            </w:r>
            <w:proofErr w:type="spellEnd"/>
            <w:r w:rsidRPr="002C1B07">
              <w:rPr>
                <w:rFonts w:ascii="Century Gothic" w:hAnsi="Century Gothic" w:cs="Times New Roman"/>
              </w:rPr>
              <w:t xml:space="preserve"> ancillary types and, one (1) MHSUD physician type, and two (2) MHSUD ancillary types. The results are as follows: </w:t>
            </w:r>
          </w:p>
          <w:p w14:paraId="423EB278" w14:textId="77777777" w:rsidR="002C1B07" w:rsidRPr="002C1B07" w:rsidRDefault="002C1B07" w:rsidP="002C1B07">
            <w:pPr>
              <w:numPr>
                <w:ilvl w:val="0"/>
                <w:numId w:val="47"/>
              </w:numPr>
              <w:rPr>
                <w:rFonts w:ascii="Century Gothic" w:hAnsi="Century Gothic" w:cs="Times New Roman"/>
              </w:rPr>
            </w:pPr>
            <w:r w:rsidRPr="002C1B07">
              <w:rPr>
                <w:rFonts w:ascii="Century Gothic" w:hAnsi="Century Gothic" w:cs="Times New Roman"/>
              </w:rPr>
              <w:t xml:space="preserve">99203: There were insufficient MH/SUD 99203 claims except for psychologists resulting on 373% more than Medicare, whereas the </w:t>
            </w:r>
            <w:proofErr w:type="spellStart"/>
            <w:r w:rsidRPr="002C1B07">
              <w:rPr>
                <w:rFonts w:ascii="Century Gothic" w:hAnsi="Century Gothic" w:cs="Times New Roman"/>
              </w:rPr>
              <w:t>MedSurg</w:t>
            </w:r>
            <w:proofErr w:type="spellEnd"/>
            <w:r w:rsidRPr="002C1B07">
              <w:rPr>
                <w:rFonts w:ascii="Century Gothic" w:hAnsi="Century Gothic" w:cs="Times New Roman"/>
              </w:rPr>
              <w:t xml:space="preserve"> claims for 99203 were from 114% to 241% of Medicare. No concerning differences were noted.</w:t>
            </w:r>
          </w:p>
          <w:p w14:paraId="25D17D22" w14:textId="77777777" w:rsidR="002C1B07" w:rsidRPr="002C1B07" w:rsidRDefault="002C1B07" w:rsidP="002C1B07">
            <w:pPr>
              <w:numPr>
                <w:ilvl w:val="0"/>
                <w:numId w:val="47"/>
              </w:numPr>
              <w:rPr>
                <w:rFonts w:ascii="Century Gothic" w:hAnsi="Century Gothic" w:cs="Times New Roman"/>
              </w:rPr>
            </w:pPr>
            <w:r w:rsidRPr="002C1B07">
              <w:rPr>
                <w:rFonts w:ascii="Century Gothic" w:hAnsi="Century Gothic" w:cs="Times New Roman"/>
              </w:rPr>
              <w:t xml:space="preserve">99213, 90832 &amp; 90834: MH/SUD psychiatrists, social workers and psychologists  were reimbursed the most (&gt; 500% of Medicare) vs. </w:t>
            </w:r>
            <w:proofErr w:type="spellStart"/>
            <w:r w:rsidRPr="002C1B07">
              <w:rPr>
                <w:rFonts w:ascii="Century Gothic" w:hAnsi="Century Gothic" w:cs="Times New Roman"/>
              </w:rPr>
              <w:t>MedSurg</w:t>
            </w:r>
            <w:proofErr w:type="spellEnd"/>
            <w:r w:rsidRPr="002C1B07">
              <w:rPr>
                <w:rFonts w:ascii="Century Gothic" w:hAnsi="Century Gothic" w:cs="Times New Roman"/>
              </w:rPr>
              <w:t xml:space="preserve"> PCPs (120-188% of Medicare) vs. </w:t>
            </w:r>
            <w:proofErr w:type="spellStart"/>
            <w:r w:rsidRPr="002C1B07">
              <w:rPr>
                <w:rFonts w:ascii="Century Gothic" w:hAnsi="Century Gothic" w:cs="Times New Roman"/>
              </w:rPr>
              <w:t>MedSurg</w:t>
            </w:r>
            <w:proofErr w:type="spellEnd"/>
            <w:r w:rsidRPr="002C1B07">
              <w:rPr>
                <w:rFonts w:ascii="Century Gothic" w:hAnsi="Century Gothic" w:cs="Times New Roman"/>
              </w:rPr>
              <w:t xml:space="preserve"> specialists (87%-311% of Medicare). The significant results for both M/S and MH/SUD show reimbursement substantially more for MHSUD.</w:t>
            </w:r>
          </w:p>
          <w:p w14:paraId="3574D910" w14:textId="77777777" w:rsidR="002C1B07" w:rsidRPr="002C1B07" w:rsidRDefault="002C1B07" w:rsidP="002C1B07">
            <w:pPr>
              <w:numPr>
                <w:ilvl w:val="0"/>
                <w:numId w:val="47"/>
              </w:numPr>
              <w:rPr>
                <w:rFonts w:ascii="Century Gothic" w:hAnsi="Century Gothic" w:cs="Times New Roman"/>
              </w:rPr>
            </w:pPr>
            <w:r w:rsidRPr="002C1B07">
              <w:rPr>
                <w:rFonts w:ascii="Century Gothic" w:hAnsi="Century Gothic" w:cs="Times New Roman"/>
              </w:rPr>
              <w:t xml:space="preserve">99204 &amp; 90791: </w:t>
            </w:r>
            <w:proofErr w:type="spellStart"/>
            <w:r w:rsidRPr="002C1B07">
              <w:rPr>
                <w:rFonts w:ascii="Century Gothic" w:hAnsi="Century Gothic" w:cs="Times New Roman"/>
              </w:rPr>
              <w:t>MedSurg</w:t>
            </w:r>
            <w:proofErr w:type="spellEnd"/>
            <w:r w:rsidRPr="002C1B07">
              <w:rPr>
                <w:rFonts w:ascii="Century Gothic" w:hAnsi="Century Gothic" w:cs="Times New Roman"/>
              </w:rPr>
              <w:t xml:space="preserve"> shows significant outlier of Physical Therapy at 776% of Medicare whereas the rest of </w:t>
            </w:r>
            <w:proofErr w:type="spellStart"/>
            <w:r w:rsidRPr="002C1B07">
              <w:rPr>
                <w:rFonts w:ascii="Century Gothic" w:hAnsi="Century Gothic" w:cs="Times New Roman"/>
              </w:rPr>
              <w:t>MedSurg</w:t>
            </w:r>
            <w:proofErr w:type="spellEnd"/>
            <w:r w:rsidRPr="002C1B07">
              <w:rPr>
                <w:rFonts w:ascii="Century Gothic" w:hAnsi="Century Gothic" w:cs="Times New Roman"/>
              </w:rPr>
              <w:t xml:space="preserve"> shows average of 140-358% of Medicare.  MH/SUD significant results were both reimbursed &gt;285% of Medicare. No concerning differences were noted.</w:t>
            </w:r>
          </w:p>
          <w:p w14:paraId="57591833" w14:textId="77777777" w:rsidR="002C1B07" w:rsidRPr="002C1B07" w:rsidRDefault="002C1B07" w:rsidP="002C1B07">
            <w:pPr>
              <w:numPr>
                <w:ilvl w:val="0"/>
                <w:numId w:val="47"/>
              </w:numPr>
              <w:rPr>
                <w:rFonts w:ascii="Century Gothic" w:hAnsi="Century Gothic" w:cs="Times New Roman"/>
              </w:rPr>
            </w:pPr>
            <w:r w:rsidRPr="002C1B07">
              <w:rPr>
                <w:rFonts w:ascii="Century Gothic" w:hAnsi="Century Gothic" w:cs="Times New Roman"/>
              </w:rPr>
              <w:t xml:space="preserve">99214, 90837 &amp; 90830: MHSUD claims show a significant % of Medicare reimbursed more than that of </w:t>
            </w:r>
            <w:proofErr w:type="spellStart"/>
            <w:r w:rsidRPr="002C1B07">
              <w:rPr>
                <w:rFonts w:ascii="Century Gothic" w:hAnsi="Century Gothic" w:cs="Times New Roman"/>
              </w:rPr>
              <w:t>MedSurg</w:t>
            </w:r>
            <w:proofErr w:type="spellEnd"/>
            <w:r w:rsidRPr="002C1B07">
              <w:rPr>
                <w:rFonts w:ascii="Century Gothic" w:hAnsi="Century Gothic" w:cs="Times New Roman"/>
              </w:rPr>
              <w:t xml:space="preserve"> providers. </w:t>
            </w:r>
          </w:p>
          <w:p w14:paraId="696747D8" w14:textId="4A43298A" w:rsidR="002C1B07" w:rsidRPr="002C1B07" w:rsidRDefault="002C1B07" w:rsidP="002C1B07">
            <w:pPr>
              <w:rPr>
                <w:rFonts w:ascii="Century Gothic" w:hAnsi="Century Gothic" w:cs="Times New Roman"/>
              </w:rPr>
            </w:pPr>
            <w:r w:rsidRPr="002C1B07">
              <w:rPr>
                <w:rFonts w:ascii="Century Gothic" w:hAnsi="Century Gothic" w:cs="Times New Roman"/>
                <w:b/>
              </w:rPr>
              <w:t xml:space="preserve">   </w:t>
            </w:r>
            <w:r w:rsidRPr="002C1B07">
              <w:rPr>
                <w:rFonts w:ascii="Century Gothic" w:hAnsi="Century Gothic" w:cs="Times New Roman"/>
                <w:noProof/>
              </w:rPr>
              <w:drawing>
                <wp:inline distT="0" distB="0" distL="0" distR="0" wp14:anchorId="272925CD" wp14:editId="3ACFA03D">
                  <wp:extent cx="4912995" cy="3187065"/>
                  <wp:effectExtent l="0" t="0" r="1905" b="0"/>
                  <wp:docPr id="1649567747" name="Picture 4"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567747" name="Picture 4" descr="A graph of a number of peopl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2995" cy="3187065"/>
                          </a:xfrm>
                          <a:prstGeom prst="rect">
                            <a:avLst/>
                          </a:prstGeom>
                          <a:noFill/>
                          <a:ln>
                            <a:noFill/>
                          </a:ln>
                        </pic:spPr>
                      </pic:pic>
                    </a:graphicData>
                  </a:graphic>
                </wp:inline>
              </w:drawing>
            </w:r>
            <w:r w:rsidRPr="002C1B07">
              <w:rPr>
                <w:rFonts w:ascii="Century Gothic" w:hAnsi="Century Gothic" w:cs="Times New Roman"/>
              </w:rPr>
              <w:t xml:space="preserve"> </w:t>
            </w:r>
            <w:r w:rsidRPr="002C1B07">
              <w:rPr>
                <w:rFonts w:ascii="Century Gothic" w:hAnsi="Century Gothic" w:cs="Times New Roman"/>
                <w:noProof/>
              </w:rPr>
              <w:drawing>
                <wp:inline distT="0" distB="0" distL="0" distR="0" wp14:anchorId="709BF047" wp14:editId="4B3BF846">
                  <wp:extent cx="5008880" cy="3227705"/>
                  <wp:effectExtent l="0" t="0" r="1270" b="0"/>
                  <wp:docPr id="548080033" name="Picture 3" descr="A graph with blue and whit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080033" name="Picture 3" descr="A graph with blue and white bar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880" cy="3227705"/>
                          </a:xfrm>
                          <a:prstGeom prst="rect">
                            <a:avLst/>
                          </a:prstGeom>
                          <a:noFill/>
                          <a:ln>
                            <a:noFill/>
                          </a:ln>
                        </pic:spPr>
                      </pic:pic>
                    </a:graphicData>
                  </a:graphic>
                </wp:inline>
              </w:drawing>
            </w:r>
          </w:p>
          <w:p w14:paraId="452A216F" w14:textId="727A4135" w:rsidR="002C1B07" w:rsidRPr="002C1B07" w:rsidRDefault="002C1B07" w:rsidP="002C1B07">
            <w:pPr>
              <w:rPr>
                <w:rFonts w:ascii="Century Gothic" w:hAnsi="Century Gothic" w:cs="Times New Roman"/>
                <w:b/>
              </w:rPr>
            </w:pPr>
            <w:r w:rsidRPr="002C1B07">
              <w:rPr>
                <w:rFonts w:ascii="Century Gothic" w:hAnsi="Century Gothic" w:cs="Times New Roman"/>
                <w:noProof/>
              </w:rPr>
              <w:drawing>
                <wp:inline distT="0" distB="0" distL="0" distR="0" wp14:anchorId="295DC696" wp14:editId="612342B7">
                  <wp:extent cx="5151755" cy="3309620"/>
                  <wp:effectExtent l="0" t="0" r="0" b="5080"/>
                  <wp:docPr id="1732829326" name="Picture 2" descr="A graph with blue and whit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829326" name="Picture 2" descr="A graph with blue and white bar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1755" cy="3309620"/>
                          </a:xfrm>
                          <a:prstGeom prst="rect">
                            <a:avLst/>
                          </a:prstGeom>
                          <a:noFill/>
                          <a:ln>
                            <a:noFill/>
                          </a:ln>
                        </pic:spPr>
                      </pic:pic>
                    </a:graphicData>
                  </a:graphic>
                </wp:inline>
              </w:drawing>
            </w:r>
            <w:r w:rsidRPr="002C1B07">
              <w:rPr>
                <w:rFonts w:ascii="Century Gothic" w:hAnsi="Century Gothic" w:cs="Times New Roman"/>
              </w:rPr>
              <w:t xml:space="preserve"> </w:t>
            </w:r>
            <w:r w:rsidRPr="002C1B07">
              <w:rPr>
                <w:rFonts w:ascii="Century Gothic" w:hAnsi="Century Gothic" w:cs="Times New Roman"/>
                <w:noProof/>
              </w:rPr>
              <w:drawing>
                <wp:inline distT="0" distB="0" distL="0" distR="0" wp14:anchorId="0D982676" wp14:editId="4B70BE23">
                  <wp:extent cx="6189345" cy="4046855"/>
                  <wp:effectExtent l="0" t="0" r="1905" b="0"/>
                  <wp:docPr id="664007227"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07227" name="Picture 1" descr="A screenshot of a graph&#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9345" cy="4046855"/>
                          </a:xfrm>
                          <a:prstGeom prst="rect">
                            <a:avLst/>
                          </a:prstGeom>
                          <a:noFill/>
                          <a:ln>
                            <a:noFill/>
                          </a:ln>
                        </pic:spPr>
                      </pic:pic>
                    </a:graphicData>
                  </a:graphic>
                </wp:inline>
              </w:drawing>
            </w:r>
          </w:p>
        </w:tc>
      </w:tr>
      <w:tr w:rsidR="002C1B07" w:rsidRPr="002C1B07" w14:paraId="3C56442A" w14:textId="77777777" w:rsidTr="002C1B07">
        <w:trPr>
          <w:trHeight w:val="2348"/>
        </w:trPr>
        <w:tc>
          <w:tcPr>
            <w:tcW w:w="5000" w:type="pct"/>
            <w:gridSpan w:val="2"/>
            <w:tcBorders>
              <w:top w:val="single" w:sz="4" w:space="0" w:color="auto"/>
              <w:left w:val="single" w:sz="4" w:space="0" w:color="auto"/>
              <w:bottom w:val="single" w:sz="4" w:space="0" w:color="auto"/>
              <w:right w:val="single" w:sz="4" w:space="0" w:color="auto"/>
            </w:tcBorders>
            <w:hideMark/>
          </w:tcPr>
          <w:p w14:paraId="5A23EEA4" w14:textId="77777777" w:rsidR="002C1B07" w:rsidRPr="002C1B07" w:rsidRDefault="002C1B07" w:rsidP="002C1B07">
            <w:pPr>
              <w:rPr>
                <w:rFonts w:ascii="Century Gothic" w:hAnsi="Century Gothic" w:cs="Times New Roman"/>
                <w:b/>
                <w:bCs/>
                <w:iCs/>
                <w:u w:val="single"/>
              </w:rPr>
            </w:pPr>
            <w:r w:rsidRPr="002C1B07">
              <w:rPr>
                <w:rFonts w:ascii="Century Gothic" w:hAnsi="Century Gothic" w:cs="Times New Roman"/>
                <w:b/>
                <w:bCs/>
                <w:iCs/>
                <w:u w:val="single"/>
              </w:rPr>
              <w:t xml:space="preserve">In operation – comparative analysis: </w:t>
            </w:r>
          </w:p>
          <w:p w14:paraId="2F86DD20" w14:textId="77777777" w:rsidR="002C1B07" w:rsidRPr="002C1B07" w:rsidRDefault="002C1B07" w:rsidP="002C1B07">
            <w:pPr>
              <w:rPr>
                <w:rFonts w:ascii="Century Gothic" w:hAnsi="Century Gothic" w:cs="Times New Roman"/>
                <w:iCs/>
              </w:rPr>
            </w:pPr>
            <w:r w:rsidRPr="002C1B07">
              <w:rPr>
                <w:rFonts w:ascii="Century Gothic" w:hAnsi="Century Gothic" w:cs="Times New Roman"/>
                <w:b/>
                <w:bCs/>
                <w:iCs/>
              </w:rPr>
              <w:t xml:space="preserve">Network adequacy: </w:t>
            </w:r>
            <w:r w:rsidRPr="002C1B07">
              <w:rPr>
                <w:rFonts w:ascii="Century Gothic" w:hAnsi="Century Gothic" w:cs="Times New Roman"/>
                <w:iCs/>
              </w:rPr>
              <w:t xml:space="preserve">A review of Cigna’s Network Adequacy reports for Cigna’s national network revealed sufficient access to M/S and MH/SUD providers. Cigna meets adequacy and accessibility requirements for M/S and MH/SUD providers using comparable standards, with M/S providers subject to more stringent standards. At present, Cigna meets all provider ratio access requirements for </w:t>
            </w:r>
            <w:proofErr w:type="gramStart"/>
            <w:r w:rsidRPr="002C1B07">
              <w:rPr>
                <w:rFonts w:ascii="Century Gothic" w:hAnsi="Century Gothic" w:cs="Times New Roman"/>
                <w:iCs/>
              </w:rPr>
              <w:t>Masters</w:t>
            </w:r>
            <w:proofErr w:type="gramEnd"/>
            <w:r w:rsidRPr="002C1B07">
              <w:rPr>
                <w:rFonts w:ascii="Century Gothic" w:hAnsi="Century Gothic" w:cs="Times New Roman"/>
                <w:iCs/>
              </w:rPr>
              <w:t xml:space="preserve"> Level Clinicians, Psychologist/Nurse Practitioners with prescribing privileges, Physicians, Inpatient Facility and Residential Facility for the MH/SUD Network. Cigna also meets all provider ratio access requirements for adult and pediatric PCP; high volume specialty including cardiology, dermatology, ophthalmology, and orthopedics; and high impact specialty for hematology/oncology, infectious disease, nephrology, neurology and pulmonary.  Holistically, when reviewing the current snapshot of both the M/S and MH/SUD networks, Cigna also meets provider access radius requirements. When reviewed individually by state, deficiencies are noted in rural areas such as Alaska, Idaho, Montana, </w:t>
            </w:r>
            <w:proofErr w:type="gramStart"/>
            <w:r w:rsidRPr="002C1B07">
              <w:rPr>
                <w:rFonts w:ascii="Century Gothic" w:hAnsi="Century Gothic" w:cs="Times New Roman"/>
                <w:iCs/>
              </w:rPr>
              <w:t>South Dakota</w:t>
            </w:r>
            <w:proofErr w:type="gramEnd"/>
            <w:r w:rsidRPr="002C1B07">
              <w:rPr>
                <w:rFonts w:ascii="Century Gothic" w:hAnsi="Century Gothic" w:cs="Times New Roman"/>
                <w:iCs/>
              </w:rPr>
              <w:t xml:space="preserve"> and Wyoming in both the M/S and MH/SUD Networks. Lastly, Cigna reviewed the percentages of exceptions for obtaining out-of-network M/S and MH/SUD services at the in-network benefit level to ensure operational parity compliance. Data revealed a significantly larger number of M/S network exceptions denied including both medical necessity and administrative denials than denials of MH/SUD network exceptions. </w:t>
            </w:r>
          </w:p>
          <w:p w14:paraId="63DDDC68" w14:textId="77777777" w:rsidR="002C1B07" w:rsidRPr="002C1B07" w:rsidRDefault="002C1B07" w:rsidP="002C1B07">
            <w:pPr>
              <w:rPr>
                <w:rFonts w:ascii="Century Gothic" w:hAnsi="Century Gothic" w:cs="Times New Roman"/>
                <w:iCs/>
              </w:rPr>
            </w:pPr>
            <w:r w:rsidRPr="002C1B07">
              <w:rPr>
                <w:rFonts w:ascii="Century Gothic" w:hAnsi="Century Gothic" w:cs="Times New Roman"/>
                <w:b/>
                <w:bCs/>
                <w:iCs/>
              </w:rPr>
              <w:t xml:space="preserve">Credentialing: </w:t>
            </w:r>
            <w:r w:rsidRPr="002C1B07">
              <w:rPr>
                <w:rFonts w:ascii="Century Gothic" w:hAnsi="Century Gothic" w:cs="Times New Roman"/>
                <w:iCs/>
              </w:rPr>
              <w:t xml:space="preserve">An “in operation” review of Cigna’s credentialing applications, approvals and denials of providers revealed no disparate outcomes in credentialing approvals or denials as between M/S and MH/SUD physician providers. The average time it took Cigna to review and approve a credentialing application for both M/S and MH/SUD providers was 23.6 days, a </w:t>
            </w:r>
            <w:proofErr w:type="gramStart"/>
            <w:r w:rsidRPr="002C1B07">
              <w:rPr>
                <w:rFonts w:ascii="Century Gothic" w:hAnsi="Century Gothic" w:cs="Times New Roman"/>
                <w:iCs/>
              </w:rPr>
              <w:t>25 day</w:t>
            </w:r>
            <w:proofErr w:type="gramEnd"/>
            <w:r w:rsidRPr="002C1B07">
              <w:rPr>
                <w:rFonts w:ascii="Century Gothic" w:hAnsi="Century Gothic" w:cs="Times New Roman"/>
                <w:iCs/>
              </w:rPr>
              <w:t xml:space="preserve"> approval average for M/S providers and a shorter 22 day approval average for MH/SUD providers.  The average time it took Cigna to review and deny a credentialing application for both M/S and MH/SUD providers was 87 days. These credentialing process metrics indicate a comparable process in-operation based on the time to review, a significantly lower </w:t>
            </w:r>
            <w:proofErr w:type="gramStart"/>
            <w:r w:rsidRPr="002C1B07">
              <w:rPr>
                <w:rFonts w:ascii="Century Gothic" w:hAnsi="Century Gothic" w:cs="Times New Roman"/>
                <w:iCs/>
              </w:rPr>
              <w:t>amount</w:t>
            </w:r>
            <w:proofErr w:type="gramEnd"/>
            <w:r w:rsidRPr="002C1B07">
              <w:rPr>
                <w:rFonts w:ascii="Century Gothic" w:hAnsi="Century Gothic" w:cs="Times New Roman"/>
                <w:iCs/>
              </w:rPr>
              <w:t xml:space="preserve"> of denials of MH/SUD provider credentialing applications, and comparable incidences of denials of MH/SUD and M/S provider credentialing denial overturns on appeal.  Consequently, Cigna concludes that the NQTL was applied comparably and no more stringently to MH/SUD benefits than to M/S benefits.</w:t>
            </w:r>
          </w:p>
          <w:p w14:paraId="515D5C12" w14:textId="77777777" w:rsidR="002C1B07" w:rsidRPr="002C1B07" w:rsidRDefault="002C1B07" w:rsidP="002C1B07">
            <w:pPr>
              <w:rPr>
                <w:rFonts w:ascii="Century Gothic" w:hAnsi="Century Gothic" w:cs="Times New Roman"/>
                <w:iCs/>
              </w:rPr>
            </w:pPr>
            <w:r w:rsidRPr="002C1B07">
              <w:rPr>
                <w:rFonts w:ascii="Century Gothic" w:hAnsi="Century Gothic" w:cs="Times New Roman"/>
                <w:b/>
                <w:bCs/>
                <w:iCs/>
              </w:rPr>
              <w:t>Reimbursement</w:t>
            </w:r>
            <w:r w:rsidRPr="002C1B07">
              <w:rPr>
                <w:rFonts w:ascii="Century Gothic" w:hAnsi="Century Gothic" w:cs="Times New Roman"/>
                <w:iCs/>
              </w:rPr>
              <w:t xml:space="preserve">: </w:t>
            </w:r>
          </w:p>
          <w:p w14:paraId="05A1F3A9" w14:textId="77777777" w:rsidR="002C1B07" w:rsidRPr="002C1B07" w:rsidRDefault="002C1B07" w:rsidP="002C1B07">
            <w:pPr>
              <w:rPr>
                <w:rFonts w:ascii="Century Gothic" w:hAnsi="Century Gothic" w:cs="Times New Roman"/>
                <w:b/>
                <w:bCs/>
                <w:iCs/>
                <w:u w:val="single"/>
              </w:rPr>
            </w:pPr>
            <w:r w:rsidRPr="002C1B07">
              <w:rPr>
                <w:rFonts w:ascii="Century Gothic" w:hAnsi="Century Gothic" w:cs="Times New Roman"/>
                <w:b/>
                <w:bCs/>
                <w:iCs/>
                <w:u w:val="single"/>
              </w:rPr>
              <w:t xml:space="preserve">Wellfleet </w:t>
            </w:r>
          </w:p>
          <w:p w14:paraId="310D5B0F"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In terms of operational parity compliance, Wellfleet has assessed the reimbursement rates paid across its book-of-business by reference to reimbursement data in 2023. In its assessment, Wellfleet reviewed CPT codes </w:t>
            </w:r>
            <w:r w:rsidRPr="002C1B07">
              <w:rPr>
                <w:rFonts w:ascii="Century Gothic" w:hAnsi="Century Gothic" w:cs="Times New Roman"/>
              </w:rPr>
              <w:t xml:space="preserve">for ancillary, PCP, and specialists for MHSUD &amp; </w:t>
            </w:r>
            <w:proofErr w:type="spellStart"/>
            <w:r w:rsidRPr="002C1B07">
              <w:rPr>
                <w:rFonts w:ascii="Century Gothic" w:hAnsi="Century Gothic" w:cs="Times New Roman"/>
              </w:rPr>
              <w:t>MedSurg</w:t>
            </w:r>
            <w:proofErr w:type="spellEnd"/>
            <w:r w:rsidRPr="002C1B07">
              <w:rPr>
                <w:rFonts w:ascii="Century Gothic" w:hAnsi="Century Gothic" w:cs="Times New Roman"/>
              </w:rPr>
              <w:t>. Wellfleet has determined that the reimbursement rates are comparable and not more stringent once Wellfleet eliminates the high outlier claims for ancillary therapy provider types. By contrast, MH/SUD providers are reimbursed at a higher or comparable average for CPT codes 99203, 99213, 99214, 90832, 90834, 90837, &amp; 90839,  compared to M/S providers.</w:t>
            </w:r>
          </w:p>
          <w:p w14:paraId="686B1EEC" w14:textId="77777777" w:rsidR="002C1B07" w:rsidRPr="002C1B07" w:rsidRDefault="002C1B07" w:rsidP="002C1B07">
            <w:pPr>
              <w:rPr>
                <w:rFonts w:ascii="Century Gothic" w:hAnsi="Century Gothic" w:cs="Times New Roman"/>
                <w:iCs/>
              </w:rPr>
            </w:pPr>
            <w:r w:rsidRPr="002C1B07">
              <w:rPr>
                <w:rFonts w:ascii="Century Gothic" w:hAnsi="Century Gothic" w:cs="Times New Roman"/>
              </w:rPr>
              <w:t xml:space="preserve">The analysis of the 2023 claims reimbursement demonstrates </w:t>
            </w:r>
            <w:r w:rsidRPr="002C1B07">
              <w:rPr>
                <w:rFonts w:ascii="Century Gothic" w:hAnsi="Century Gothic" w:cs="Times New Roman"/>
                <w:iCs/>
              </w:rPr>
              <w:t xml:space="preserve">the payment versus Medicare rates for the same provider types and CPT codes did not provide concerns regarding possible issues with disparities in payment between similar types of MH/SUD versus </w:t>
            </w:r>
            <w:proofErr w:type="spellStart"/>
            <w:r w:rsidRPr="002C1B07">
              <w:rPr>
                <w:rFonts w:ascii="Century Gothic" w:hAnsi="Century Gothic" w:cs="Times New Roman"/>
                <w:iCs/>
              </w:rPr>
              <w:t>MedSurg</w:t>
            </w:r>
            <w:proofErr w:type="spellEnd"/>
            <w:r w:rsidRPr="002C1B07">
              <w:rPr>
                <w:rFonts w:ascii="Century Gothic" w:hAnsi="Century Gothic" w:cs="Times New Roman"/>
                <w:iCs/>
              </w:rPr>
              <w:t xml:space="preserve"> providers. Moreover, as demonstrated by the bar graphs, the reimbursement rates as a percentage of Medicare for MH/SUD providers are comparable or higher than the reimbursement rates as a percentage of Medicare for </w:t>
            </w:r>
            <w:proofErr w:type="spellStart"/>
            <w:r w:rsidRPr="002C1B07">
              <w:rPr>
                <w:rFonts w:ascii="Century Gothic" w:hAnsi="Century Gothic" w:cs="Times New Roman"/>
                <w:iCs/>
              </w:rPr>
              <w:t>MedSurg</w:t>
            </w:r>
            <w:proofErr w:type="spellEnd"/>
            <w:r w:rsidRPr="002C1B07">
              <w:rPr>
                <w:rFonts w:ascii="Century Gothic" w:hAnsi="Century Gothic" w:cs="Times New Roman"/>
                <w:iCs/>
              </w:rPr>
              <w:t xml:space="preserve"> providers, apart from therapists, who are a significant outlier for specified code groups for both in-network and out-of-network reimbursement. Therefore, </w:t>
            </w:r>
            <w:r w:rsidRPr="002C1B07">
              <w:rPr>
                <w:rFonts w:ascii="Century Gothic" w:hAnsi="Century Gothic" w:cs="Times New Roman"/>
                <w:i/>
              </w:rPr>
              <w:t>in operation</w:t>
            </w:r>
            <w:r w:rsidRPr="002C1B07">
              <w:rPr>
                <w:rFonts w:ascii="Century Gothic" w:hAnsi="Century Gothic" w:cs="Times New Roman"/>
                <w:iCs/>
              </w:rPr>
              <w:t xml:space="preserve">, the processes, standards, factors, and sources used to apply reimbursement to MH/SUD services </w:t>
            </w:r>
            <w:proofErr w:type="gramStart"/>
            <w:r w:rsidRPr="002C1B07">
              <w:rPr>
                <w:rFonts w:ascii="Century Gothic" w:hAnsi="Century Gothic" w:cs="Times New Roman"/>
                <w:iCs/>
              </w:rPr>
              <w:t>is</w:t>
            </w:r>
            <w:proofErr w:type="gramEnd"/>
            <w:r w:rsidRPr="002C1B07">
              <w:rPr>
                <w:rFonts w:ascii="Century Gothic" w:hAnsi="Century Gothic" w:cs="Times New Roman"/>
                <w:iCs/>
              </w:rPr>
              <w:t xml:space="preserve"> comparable and not more stringent than the processes, standards, factors, and sources used to apply reimbursement to </w:t>
            </w:r>
            <w:proofErr w:type="spellStart"/>
            <w:r w:rsidRPr="002C1B07">
              <w:rPr>
                <w:rFonts w:ascii="Century Gothic" w:hAnsi="Century Gothic" w:cs="Times New Roman"/>
                <w:iCs/>
              </w:rPr>
              <w:t>MedSurg</w:t>
            </w:r>
            <w:proofErr w:type="spellEnd"/>
            <w:r w:rsidRPr="002C1B07">
              <w:rPr>
                <w:rFonts w:ascii="Century Gothic" w:hAnsi="Century Gothic" w:cs="Times New Roman"/>
                <w:iCs/>
              </w:rPr>
              <w:t xml:space="preserve"> services. Wellfleet concludes that it applies reimbursement either equally or less stringently for MH/SUD providers than it does for </w:t>
            </w:r>
            <w:proofErr w:type="spellStart"/>
            <w:r w:rsidRPr="002C1B07">
              <w:rPr>
                <w:rFonts w:ascii="Century Gothic" w:hAnsi="Century Gothic" w:cs="Times New Roman"/>
                <w:iCs/>
              </w:rPr>
              <w:t>MedSurg</w:t>
            </w:r>
            <w:proofErr w:type="spellEnd"/>
            <w:r w:rsidRPr="002C1B07">
              <w:rPr>
                <w:rFonts w:ascii="Century Gothic" w:hAnsi="Century Gothic" w:cs="Times New Roman"/>
                <w:iCs/>
              </w:rPr>
              <w:t xml:space="preserve"> providers.</w:t>
            </w:r>
            <w:r w:rsidRPr="002C1B07">
              <w:rPr>
                <w:rFonts w:ascii="Century Gothic" w:hAnsi="Century Gothic" w:cs="Times New Roman"/>
                <w:bCs/>
              </w:rPr>
              <w:t xml:space="preserve"> </w:t>
            </w:r>
            <w:r w:rsidRPr="002C1B07">
              <w:rPr>
                <w:rFonts w:ascii="Century Gothic" w:hAnsi="Century Gothic" w:cs="Times New Roman"/>
                <w:iCs/>
              </w:rPr>
              <w:t xml:space="preserve">While operational outcomes are not determinative of NQTL compliance, and a plan may comply with the NQTL requirement notwithstanding a disparate outcome for an NQTL applied to MH/SUD benefits as compared to M/S benefits, comparable outcomes can help evidence compliance with the in-operation component of the NQTL requirement. </w:t>
            </w:r>
          </w:p>
          <w:p w14:paraId="708E20B8" w14:textId="77777777" w:rsidR="002C1B07" w:rsidRPr="002C1B07" w:rsidRDefault="002C1B07" w:rsidP="002C1B07">
            <w:pPr>
              <w:rPr>
                <w:rFonts w:ascii="Century Gothic" w:hAnsi="Century Gothic" w:cs="Times New Roman"/>
                <w:b/>
                <w:bCs/>
                <w:u w:val="single"/>
              </w:rPr>
            </w:pPr>
            <w:r w:rsidRPr="002C1B07">
              <w:rPr>
                <w:rFonts w:ascii="Century Gothic" w:hAnsi="Century Gothic" w:cs="Times New Roman"/>
                <w:b/>
                <w:bCs/>
                <w:iCs/>
                <w:u w:val="single"/>
              </w:rPr>
              <w:t>Cigna</w:t>
            </w:r>
          </w:p>
          <w:p w14:paraId="178A1CA5"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In  December 2021, Cigna conducted a comparison of DRG reimbursement to in-network M/S facilities compared to per diem used for MH/SUD in-network facility-based services. To conduct the comparative analysis of in-network facility reimbursement by DRG payment system methodology versus per diem payment methodology, Cigna did not target a specific facility’s DRGs, but rather claim line data aligning a DRG to a diagnostic code only. The top 35 diagnostic codes were obtained from the dataset through a group by statement ordered descending to identify the 35 diagnostic codes with the highest allowed spend for the time period of the </w:t>
            </w:r>
            <w:proofErr w:type="gramStart"/>
            <w:r w:rsidRPr="002C1B07">
              <w:rPr>
                <w:rFonts w:ascii="Century Gothic" w:hAnsi="Century Gothic" w:cs="Times New Roman"/>
                <w:iCs/>
              </w:rPr>
              <w:t>analysis;</w:t>
            </w:r>
            <w:proofErr w:type="gramEnd"/>
            <w:r w:rsidRPr="002C1B07">
              <w:rPr>
                <w:rFonts w:ascii="Century Gothic" w:hAnsi="Century Gothic" w:cs="Times New Roman"/>
                <w:iCs/>
              </w:rPr>
              <w:t xml:space="preserve"> FY2020.  An average allowed amount was derived at the diagnostic code level for a comparison of Avg. Per Day, Avg. Per Unit, and Avg. Per Member from claim line data designated as Behavioral compared to claim line </w:t>
            </w:r>
            <w:proofErr w:type="gramStart"/>
            <w:r w:rsidRPr="002C1B07">
              <w:rPr>
                <w:rFonts w:ascii="Century Gothic" w:hAnsi="Century Gothic" w:cs="Times New Roman"/>
                <w:iCs/>
              </w:rPr>
              <w:t>date</w:t>
            </w:r>
            <w:proofErr w:type="gramEnd"/>
            <w:r w:rsidRPr="002C1B07">
              <w:rPr>
                <w:rFonts w:ascii="Century Gothic" w:hAnsi="Century Gothic" w:cs="Times New Roman"/>
                <w:iCs/>
              </w:rPr>
              <w:t xml:space="preserve"> designated as Medical. The analysis was not inclusive of expected lengths of stay.  </w:t>
            </w:r>
          </w:p>
          <w:p w14:paraId="2879ABB4"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Cigna reviewed the DRGs for M/S admissions to determine the “daily” rate average for inpatient admission based on the expected length of the DRG. To unpack the DRG rate, Cigna applied this back to the length of stay that is contemplated by the respective DRGs, as they are different for every diagnosis. Once the DRG daily rate was determined, Cigna compared it to the MH/SUD reimbursement for a hospital bed day. Specifically for the comparison, Cigna utilized the most comparable lists of admission diagnoses between M/S and MH/SUD services which included the top 35 inpatient diagnosis codes. Cigna’s data warehouse cross-walked claims using logic to identify MH/SUD spend apart from M/S spend so like services would not be included in the comparison when reviewing by diagnosis.  This logic ensured a singular classification.  For example: Primary diagnosis of F329 for Behavioral may align to an Inpatient admission with a bed day per diem, and the same diagnosis for Medical may align to an ER Level 1 case rate.  Given the vast differences between M/S and MH/SUD inpatient stays and variation of diagnoses, singular classifications were omitted. Cigna’s MH/SUD network does not provide separate reimbursements for different plans, so the reimbursement diagnosis </w:t>
            </w:r>
            <w:proofErr w:type="gramStart"/>
            <w:r w:rsidRPr="002C1B07">
              <w:rPr>
                <w:rFonts w:ascii="Century Gothic" w:hAnsi="Century Gothic" w:cs="Times New Roman"/>
                <w:iCs/>
              </w:rPr>
              <w:t>codes</w:t>
            </w:r>
            <w:proofErr w:type="gramEnd"/>
            <w:r w:rsidRPr="002C1B07">
              <w:rPr>
                <w:rFonts w:ascii="Century Gothic" w:hAnsi="Century Gothic" w:cs="Times New Roman"/>
                <w:iCs/>
              </w:rPr>
              <w:t xml:space="preserve"> and average units were based on Cigna’s commercial book of business. Inpatient admissions included all of the MH/SUD IP levels of care: Inpatient Behavioral Health Level of Care, Adult, Inpatient Behavioral Health Level of Care, Child or Adolescent, Eating Disorders, Inpatient Behavioral Health Level of Care, Adult and inpatient substance use disorder treatment level of care and inpatient detox level of care </w:t>
            </w:r>
            <w:proofErr w:type="gramStart"/>
            <w:r w:rsidRPr="002C1B07">
              <w:rPr>
                <w:rFonts w:ascii="Century Gothic" w:hAnsi="Century Gothic" w:cs="Times New Roman"/>
                <w:iCs/>
              </w:rPr>
              <w:t>Substance Use Disorder</w:t>
            </w:r>
            <w:proofErr w:type="gramEnd"/>
            <w:r w:rsidRPr="002C1B07">
              <w:rPr>
                <w:rFonts w:ascii="Century Gothic" w:hAnsi="Century Gothic" w:cs="Times New Roman"/>
                <w:iCs/>
              </w:rPr>
              <w:t xml:space="preserve"> inpatient levels of care which included ASAM Level 4 and ASAM Level 3.7.  </w:t>
            </w:r>
          </w:p>
          <w:p w14:paraId="5EBCCFFC"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The facility reimbursement comparative analysis reflects that, on average, Cigna applied a 54.6% discount for MH/SUD services and 50.6% discount for M/S services resulting in a 4% spread between the two, which can be categorized as comparable and not resulting in a disparate outcome. The direct DRG/Per Diem comparison resulted in a difference of $7,133 average per day difference between M/S and MH/SUD inpatient stays, in favor of the MH/SUD per diem stay receiving higher reimbursement.</w:t>
            </w:r>
          </w:p>
          <w:p w14:paraId="0C83EE36"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While the comparison of two distinct methodologies is inherently challenging due to the material differences in how facility-based services are reimbursed and the DRG-Per Diem comparison evidences a difference in the MH/SUD and M/S reimbursement rates, this does not indicate a disadvantageously disparate outcome for inpatient stays. In fact, in this instance the comparison illustrates a higher average per unit and per day cost for MH/SUD per diem facilities than M/S facilities paid the DRG rate. As a general matter, due to variability in length of stay for MH/SUD benefits per diem reimbursements are more favorable for MH/SUD than are DRGs. In other words, if Cigna sought to impose DRGs on MH/SUD benefits it would likely reduce reimbursement rates because the course of treatment is relatively unpredictable for MH/SUD conditions as opposed to M/S conditions. This presupposition aligns with the fact that MH/SUD facilities have rejected DRG reimbursement. It can be assumed a lower reimbursement rate could impact accessibility to in-network providers and Cigna's network admissions criteria, itself the relevant NQTL. </w:t>
            </w:r>
            <w:proofErr w:type="gramStart"/>
            <w:r w:rsidRPr="002C1B07">
              <w:rPr>
                <w:rFonts w:ascii="Century Gothic" w:hAnsi="Century Gothic" w:cs="Times New Roman"/>
                <w:iCs/>
              </w:rPr>
              <w:t>However</w:t>
            </w:r>
            <w:proofErr w:type="gramEnd"/>
            <w:r w:rsidRPr="002C1B07">
              <w:rPr>
                <w:rFonts w:ascii="Century Gothic" w:hAnsi="Century Gothic" w:cs="Times New Roman"/>
                <w:iCs/>
              </w:rPr>
              <w:t xml:space="preserve"> the DRG-Per Diem comparison coupled with Cigna’s comparable out-of-network utilization over the recent measurement period across MH/SUD and M/S benefits and the achievement of applicable network adequacy requirements for MH/SUD and M/S providers, respectively, evidences comparability.</w:t>
            </w:r>
          </w:p>
        </w:tc>
      </w:tr>
      <w:tr w:rsidR="002C1B07" w:rsidRPr="002C1B07" w14:paraId="34B81962" w14:textId="77777777" w:rsidTr="002C1B07">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1E216" w14:textId="77777777" w:rsidR="002C1B07" w:rsidRPr="002C1B07" w:rsidRDefault="002C1B07" w:rsidP="002C1B07">
            <w:pPr>
              <w:rPr>
                <w:rFonts w:ascii="Century Gothic" w:hAnsi="Century Gothic" w:cs="Times New Roman"/>
                <w:b/>
                <w:bCs/>
              </w:rPr>
            </w:pPr>
            <w:r w:rsidRPr="002C1B07">
              <w:rPr>
                <w:rFonts w:ascii="Century Gothic" w:hAnsi="Century Gothic" w:cs="Times New Roman"/>
                <w:b/>
                <w:bCs/>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2C1B07">
              <w:rPr>
                <w:rFonts w:ascii="Century Gothic" w:hAnsi="Century Gothic" w:cs="Times New Roman"/>
                <w:b/>
                <w:bCs/>
              </w:rPr>
              <w:t>section</w:t>
            </w:r>
            <w:proofErr w:type="gramEnd"/>
          </w:p>
          <w:p w14:paraId="15CB563D" w14:textId="77777777" w:rsidR="002C1B07" w:rsidRPr="002C1B07" w:rsidRDefault="002C1B07" w:rsidP="002C1B07">
            <w:pPr>
              <w:numPr>
                <w:ilvl w:val="0"/>
                <w:numId w:val="46"/>
              </w:numPr>
              <w:rPr>
                <w:rFonts w:ascii="Century Gothic" w:hAnsi="Century Gothic" w:cs="Times New Roman"/>
                <w:bCs/>
                <w:i/>
              </w:rPr>
            </w:pPr>
            <w:r w:rsidRPr="002C1B07">
              <w:rPr>
                <w:rFonts w:ascii="Century Gothic" w:hAnsi="Century Gothic" w:cs="Times New Roman"/>
                <w:bCs/>
                <w:i/>
              </w:rPr>
              <w:t>This discussion should include citations to any specific evidence considered and any results of analyses indicating that the plan or coverage is or is not in compliance with MHPAEA</w:t>
            </w:r>
          </w:p>
        </w:tc>
      </w:tr>
      <w:tr w:rsidR="002C1B07" w:rsidRPr="002C1B07" w14:paraId="7FDBF2E2" w14:textId="77777777" w:rsidTr="002C1B07">
        <w:trPr>
          <w:trHeight w:val="440"/>
        </w:trPr>
        <w:tc>
          <w:tcPr>
            <w:tcW w:w="5000" w:type="pct"/>
            <w:gridSpan w:val="2"/>
            <w:tcBorders>
              <w:top w:val="single" w:sz="4" w:space="0" w:color="auto"/>
              <w:left w:val="single" w:sz="4" w:space="0" w:color="auto"/>
              <w:bottom w:val="single" w:sz="4" w:space="0" w:color="auto"/>
              <w:right w:val="single" w:sz="4" w:space="0" w:color="auto"/>
            </w:tcBorders>
          </w:tcPr>
          <w:p w14:paraId="15B2996C"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Cigna assesses supply and demand of both M/S and MH/SUD provider types and/or specialties based upon the same indicators including NCQA and NAIC, and federal/state, network adequacy and access standards focused on distribution of provider types within geographic regions (i.e. zip codes); plan population density within geographic regions (i.e. zip codes); time and/or distance to access provider type within urban, suburban and rural areas; appointment wait times for emergent, urgent and routine visits; customer satisfaction surveys; customer complaint data. The conclusion of such assessments may result in an increase or decrease in the provider’s reimbursement rate.  </w:t>
            </w:r>
          </w:p>
          <w:p w14:paraId="4CEDA9EC"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Over the past several years Cigna has conducted a comprehensive review of its MH/SUD network admission standards, including network access standards, contracting processes and reimbursement rates applicable to Network Providers.  Any variances in contracting processes as well as a range of reimbursement rates based on percentages of Medicare RVUs as compared to M/S reimbursement rates were identified and analyzed for adherence to the NQTL requirement. </w:t>
            </w:r>
          </w:p>
          <w:p w14:paraId="177481F9"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In connection with its ongoing NQTL compliance efforts, Cigna has taken proactive, additional steps to continually ensure the comparability of standards for provider admissions into the MH/SUD provider network, including reimbursement rate methodology, to ensure the processes, strategies and evidentiary standards implemented are not more stringent for MH/SUD services than M/S services. First, Cigna has aligned contracting policies and processes and rolled out a facility reimbursement strategy shifting from reactively addressing disparate outcomes between M/S and MH/SUD reimbursement rates to proactively updating reimbursement rates for facilities for which rate increases have not been requested in the past two years. As evidence of Cigna's success in establishing rates that help ensure the acquisition and retention of providers in its MH/SUD network, the facility rate renegotiation report for January 1, 2020 through March 31, 2021 documented 487 provider renegotiations, of which 446 negotiations were completed, 11 are currently in process and 31 were discontinued due to provider’s non-responsiveness, 2 discontinued due to a Special Investigations audit, and 1 was discontinued due to the facility requesting fees for services for which they lacked a state-required license. Cigna has also reviewed more than 10,000 reimbursement rates for </w:t>
            </w:r>
            <w:proofErr w:type="gramStart"/>
            <w:r w:rsidRPr="002C1B07">
              <w:rPr>
                <w:rFonts w:ascii="Century Gothic" w:hAnsi="Century Gothic" w:cs="Times New Roman"/>
                <w:iCs/>
              </w:rPr>
              <w:t>outpatient based</w:t>
            </w:r>
            <w:proofErr w:type="gramEnd"/>
            <w:r w:rsidRPr="002C1B07">
              <w:rPr>
                <w:rFonts w:ascii="Century Gothic" w:hAnsi="Century Gothic" w:cs="Times New Roman"/>
                <w:iCs/>
              </w:rPr>
              <w:t xml:space="preserve"> fee schedules. The outpatient rate negotiation report for January 1, </w:t>
            </w:r>
            <w:proofErr w:type="gramStart"/>
            <w:r w:rsidRPr="002C1B07">
              <w:rPr>
                <w:rFonts w:ascii="Century Gothic" w:hAnsi="Century Gothic" w:cs="Times New Roman"/>
                <w:iCs/>
              </w:rPr>
              <w:t>2020</w:t>
            </w:r>
            <w:proofErr w:type="gramEnd"/>
            <w:r w:rsidRPr="002C1B07">
              <w:rPr>
                <w:rFonts w:ascii="Century Gothic" w:hAnsi="Century Gothic" w:cs="Times New Roman"/>
                <w:iCs/>
              </w:rPr>
              <w:t xml:space="preserve"> through March 31, 2021 includes a total of 10,559 rate increases with 9,497 completed and 933 were denied or incomplete due to the non-responsiveness of the provider.  </w:t>
            </w:r>
          </w:p>
          <w:p w14:paraId="6BAAF0AA" w14:textId="77777777" w:rsidR="002C1B07" w:rsidRPr="002C1B07" w:rsidRDefault="002C1B07" w:rsidP="002C1B07">
            <w:pPr>
              <w:rPr>
                <w:rFonts w:ascii="Century Gothic" w:hAnsi="Century Gothic" w:cs="Times New Roman"/>
                <w:iCs/>
              </w:rPr>
            </w:pPr>
          </w:p>
          <w:p w14:paraId="17DFA757"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Network adequacy standards for MH/SUD providers are comparable to similar M/S specialists. In most instances the behavioral network adequacy standards require a customer to travel fewer miles to see a MS/SUD specialist as compared to an M/S specialist, effectively making MH/SUD providers more accessible to customers as compared to medical specialists. Currently, for both M/S and MH/SUD providers, at least 90% of enrollees are required to have the designated access to meet Cigna’s network adequacy standard.</w:t>
            </w:r>
          </w:p>
          <w:p w14:paraId="3DD522D9"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In addition to rolling out reimbursement upgrades for so-called stagnant contracts (that is, facility contracts that have not requested an increase in rates within the past 5 years and have remained at the same percentage of Medicare), facility based reimbursement is transitioning from a service level approach of negotiation to a total cost of care to address both competitiveness through the use of pricing benchmarks and market based analysis. This approach aligns with the methodology and process for updating inpatient reimbursement rates for hospitals providing M/S services.  Cigna is currently creating a database including various benchmarking sources for the comparison of in-network rates against pricing benchmarks to assess affordability and to ensure the closure of any unsubstantiated gaps in reimbursement rates. Lastly, for new providers entering the network, Cigna has aligned the contracting process and has developed and implemented a standard reimbursement methodology for the negotiation of MH/SUD reimbursement rates with M/S contracting and reimbursement methodology.  Such alignment includes the implementation of standard fee schedules and the implementation of established outpatient facility and practitioner fee schedules and exceptions to standard fee schedule requests </w:t>
            </w:r>
            <w:proofErr w:type="gramStart"/>
            <w:r w:rsidRPr="002C1B07">
              <w:rPr>
                <w:rFonts w:ascii="Century Gothic" w:hAnsi="Century Gothic" w:cs="Times New Roman"/>
                <w:iCs/>
              </w:rPr>
              <w:t>in order to</w:t>
            </w:r>
            <w:proofErr w:type="gramEnd"/>
            <w:r w:rsidRPr="002C1B07">
              <w:rPr>
                <w:rFonts w:ascii="Century Gothic" w:hAnsi="Century Gothic" w:cs="Times New Roman"/>
                <w:iCs/>
              </w:rPr>
              <w:t xml:space="preserve"> contract with and retain providers essential to the integrity of the MH/SUD provider network. </w:t>
            </w:r>
          </w:p>
          <w:p w14:paraId="34A6C675" w14:textId="77777777" w:rsidR="002C1B07" w:rsidRPr="002C1B07" w:rsidRDefault="002C1B07" w:rsidP="002C1B07">
            <w:pPr>
              <w:rPr>
                <w:rFonts w:ascii="Century Gothic" w:hAnsi="Century Gothic" w:cs="Times New Roman"/>
                <w:iCs/>
              </w:rPr>
            </w:pPr>
          </w:p>
          <w:p w14:paraId="7D18585B"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An analysis of Wellfleet’s in-network payments versus Medicare rates for the same provider types and CPT codes did not provide concerns regarding possible issues with disparities in payment between similar types of MH/SUD versus M/S providers. Moreover, as demonstrated by the bar graphs in Step 4, the INN reimbursement rates as a percentage of Medicare for MH/SUD providers </w:t>
            </w:r>
            <w:proofErr w:type="gramStart"/>
            <w:r w:rsidRPr="002C1B07">
              <w:rPr>
                <w:rFonts w:ascii="Century Gothic" w:hAnsi="Century Gothic" w:cs="Times New Roman"/>
                <w:iCs/>
              </w:rPr>
              <w:t>is</w:t>
            </w:r>
            <w:proofErr w:type="gramEnd"/>
            <w:r w:rsidRPr="002C1B07">
              <w:rPr>
                <w:rFonts w:ascii="Century Gothic" w:hAnsi="Century Gothic" w:cs="Times New Roman"/>
                <w:iCs/>
              </w:rPr>
              <w:t xml:space="preserve"> comparable to the OON reimbursement rates as a percentage of Medicare for M/S providers, with the exception of therapists, who are a significant outlier for specified code groups for both in-network and out-of-network reimbursement. Therefore, </w:t>
            </w:r>
            <w:r w:rsidRPr="002C1B07">
              <w:rPr>
                <w:rFonts w:ascii="Century Gothic" w:hAnsi="Century Gothic" w:cs="Times New Roman"/>
                <w:i/>
                <w:iCs/>
              </w:rPr>
              <w:t>in operation</w:t>
            </w:r>
            <w:r w:rsidRPr="002C1B07">
              <w:rPr>
                <w:rFonts w:ascii="Century Gothic" w:hAnsi="Century Gothic" w:cs="Times New Roman"/>
                <w:iCs/>
              </w:rPr>
              <w:t>, the processes, standards, factors, and sources used to apply OON reimbursement to MH/SUD services is comparable and not more stringent than the processes, standards, factors, and sources used to apply OON reimbursement to M/S services. Wellfleet concludes that it applies reimbursement either equally or less stringently for MH/SUD providers than it does for M/S providers.</w:t>
            </w:r>
          </w:p>
          <w:p w14:paraId="4252DC58" w14:textId="77777777" w:rsidR="002C1B07" w:rsidRPr="002C1B07" w:rsidRDefault="002C1B07" w:rsidP="002C1B07">
            <w:pPr>
              <w:rPr>
                <w:rFonts w:ascii="Century Gothic" w:hAnsi="Century Gothic" w:cs="Times New Roman"/>
                <w:iCs/>
              </w:rPr>
            </w:pPr>
            <w:r w:rsidRPr="002C1B07">
              <w:rPr>
                <w:rFonts w:ascii="Century Gothic" w:hAnsi="Century Gothic" w:cs="Times New Roman"/>
                <w:iCs/>
              </w:rPr>
              <w:t xml:space="preserve">Consistent with the NQTL requirement for comparability/stringency, Cigna has confirmed that standards for provider admission into the MH/SUD provider network, including credentialing, adequacy, and provider reimbursement rates for inpatient and outpatient services are comparable to, and applied no more stringently than, that of the M/S provider network as written and in operation.  Put differently, Cigna’s network </w:t>
            </w:r>
            <w:proofErr w:type="gramStart"/>
            <w:r w:rsidRPr="002C1B07">
              <w:rPr>
                <w:rFonts w:ascii="Century Gothic" w:hAnsi="Century Gothic" w:cs="Times New Roman"/>
                <w:iCs/>
              </w:rPr>
              <w:t>has the ability to</w:t>
            </w:r>
            <w:proofErr w:type="gramEnd"/>
            <w:r w:rsidRPr="002C1B07">
              <w:rPr>
                <w:rFonts w:ascii="Century Gothic" w:hAnsi="Century Gothic" w:cs="Times New Roman"/>
                <w:iCs/>
              </w:rPr>
              <w:t xml:space="preserve"> meet the MH/SUD services needs of our enrollees by providing reasonable access to a sufficient number of in-network providers for both inpatient and outpatient services.</w:t>
            </w:r>
          </w:p>
        </w:tc>
      </w:tr>
    </w:tbl>
    <w:p w14:paraId="1AD24F11" w14:textId="77777777" w:rsidR="00D36D15" w:rsidRPr="00D61E32" w:rsidRDefault="00D36D15" w:rsidP="00D36D15">
      <w:pPr>
        <w:pStyle w:val="ListParagraph"/>
        <w:numPr>
          <w:ilvl w:val="0"/>
          <w:numId w:val="3"/>
        </w:numPr>
        <w:rPr>
          <w:rFonts w:ascii="Century Gothic" w:hAnsi="Century Gothic" w:cs="Times New Roman"/>
          <w:b/>
          <w:u w:val="single"/>
        </w:rPr>
      </w:pPr>
      <w:r w:rsidRPr="00D61E32">
        <w:rPr>
          <w:rFonts w:ascii="Century Gothic" w:hAnsi="Century Gothic" w:cs="Times New Roman"/>
          <w:b/>
          <w:u w:val="single"/>
        </w:rPr>
        <w:t>Reimbursement for INN Providers, OON Providers, INN Facilities, OON Facilities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720"/>
      </w:tblGrid>
      <w:tr w:rsidR="002C4430" w:rsidRPr="00D61E32" w14:paraId="76A2FF79" w14:textId="77777777" w:rsidTr="002C1B07">
        <w:trPr>
          <w:trHeight w:val="35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AB532E" w14:textId="77777777" w:rsidR="002C4430" w:rsidRPr="00D61E32" w:rsidRDefault="002C4430">
            <w:pPr>
              <w:rPr>
                <w:rFonts w:ascii="Century Gothic" w:hAnsi="Century Gothic" w:cs="Arial"/>
                <w:b/>
                <w:bCs/>
              </w:rPr>
            </w:pPr>
            <w:r w:rsidRPr="00D61E32">
              <w:rPr>
                <w:rFonts w:ascii="Century Gothic" w:hAnsi="Century Gothic" w:cs="Arial"/>
                <w:b/>
                <w:bCs/>
              </w:rPr>
              <w:t xml:space="preserve">NQTL Type: Out-of-Network Reimbursement </w:t>
            </w:r>
          </w:p>
        </w:tc>
      </w:tr>
      <w:tr w:rsidR="002C4430" w:rsidRPr="00D61E32" w14:paraId="4F94DFB2" w14:textId="77777777" w:rsidTr="002C4430">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62FB738" w14:textId="77777777" w:rsidR="002C4430" w:rsidRPr="00D61E32" w:rsidRDefault="002C4430">
            <w:pPr>
              <w:rPr>
                <w:rFonts w:ascii="Century Gothic" w:hAnsi="Century Gothic" w:cs="Arial"/>
                <w:b/>
                <w:bCs/>
              </w:rPr>
            </w:pPr>
            <w:r w:rsidRPr="00D61E32">
              <w:rPr>
                <w:rFonts w:ascii="Century Gothic" w:hAnsi="Century Gothic" w:cs="Arial"/>
                <w:b/>
                <w:bCs/>
              </w:rPr>
              <w:t xml:space="preserve">Classification(s): Inpatient, Outpatient, and Emergency (Out-of-network) </w:t>
            </w:r>
          </w:p>
        </w:tc>
      </w:tr>
      <w:tr w:rsidR="002C4430" w:rsidRPr="00D61E32" w14:paraId="6391D2BB" w14:textId="77777777" w:rsidTr="002C4430">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68F46" w14:textId="77777777" w:rsidR="002C4430" w:rsidRPr="00D61E32" w:rsidRDefault="002C4430">
            <w:pPr>
              <w:rPr>
                <w:rFonts w:ascii="Century Gothic" w:hAnsi="Century Gothic" w:cs="Arial"/>
                <w:b/>
                <w:bCs/>
              </w:rPr>
            </w:pPr>
            <w:r w:rsidRPr="00D61E32">
              <w:rPr>
                <w:rFonts w:ascii="Century Gothic" w:hAnsi="Century Gothic" w:cs="Arial"/>
                <w:b/>
                <w:bCs/>
              </w:rPr>
              <w:t xml:space="preserve">Step 1 – Identify the specific plan or coverage terms or other relevant terms regarding the NQTL and a description of all mental health or substance use disorder and medical or surgical benefits to which each such term applies in each respective </w:t>
            </w:r>
            <w:proofErr w:type="gramStart"/>
            <w:r w:rsidRPr="00D61E32">
              <w:rPr>
                <w:rFonts w:ascii="Century Gothic" w:hAnsi="Century Gothic" w:cs="Arial"/>
                <w:b/>
                <w:bCs/>
              </w:rPr>
              <w:t>benefits</w:t>
            </w:r>
            <w:proofErr w:type="gramEnd"/>
            <w:r w:rsidRPr="00D61E32">
              <w:rPr>
                <w:rFonts w:ascii="Century Gothic" w:hAnsi="Century Gothic" w:cs="Arial"/>
                <w:b/>
                <w:bCs/>
              </w:rPr>
              <w:t xml:space="preserve"> classification</w:t>
            </w:r>
          </w:p>
          <w:p w14:paraId="1CC34194" w14:textId="77777777" w:rsidR="002C4430" w:rsidRPr="00D61E32" w:rsidRDefault="002C4430" w:rsidP="002C4430">
            <w:pPr>
              <w:numPr>
                <w:ilvl w:val="0"/>
                <w:numId w:val="29"/>
              </w:numPr>
              <w:spacing w:after="0" w:line="240" w:lineRule="auto"/>
              <w:rPr>
                <w:rFonts w:ascii="Century Gothic" w:hAnsi="Century Gothic" w:cs="Arial"/>
                <w:b/>
                <w:bCs/>
              </w:rPr>
            </w:pPr>
            <w:r w:rsidRPr="00D61E32">
              <w:rPr>
                <w:rFonts w:ascii="Century Gothic" w:hAnsi="Century Gothic" w:cs="Arial"/>
                <w:bCs/>
                <w:i/>
              </w:rPr>
              <w:t xml:space="preserve">Provide a clear description of the specific NQTL, plan terms, and policies at </w:t>
            </w:r>
            <w:proofErr w:type="gramStart"/>
            <w:r w:rsidRPr="00D61E32">
              <w:rPr>
                <w:rFonts w:ascii="Century Gothic" w:hAnsi="Century Gothic" w:cs="Arial"/>
                <w:bCs/>
                <w:i/>
              </w:rPr>
              <w:t>issue</w:t>
            </w:r>
            <w:proofErr w:type="gramEnd"/>
          </w:p>
          <w:p w14:paraId="09B799BE" w14:textId="77777777" w:rsidR="002C4430" w:rsidRPr="00D61E32" w:rsidRDefault="002C4430" w:rsidP="002C4430">
            <w:pPr>
              <w:numPr>
                <w:ilvl w:val="0"/>
                <w:numId w:val="29"/>
              </w:numPr>
              <w:spacing w:after="0" w:line="240" w:lineRule="auto"/>
              <w:rPr>
                <w:rFonts w:ascii="Century Gothic" w:hAnsi="Century Gothic" w:cs="Arial"/>
                <w:b/>
                <w:bCs/>
              </w:rPr>
            </w:pPr>
            <w:r w:rsidRPr="00D61E32">
              <w:rPr>
                <w:rFonts w:ascii="Century Gothic" w:hAnsi="Century Gothic" w:cs="Arial"/>
                <w:bCs/>
                <w:i/>
              </w:rPr>
              <w:t>Identify which M/S and MH/SUD benefits are subject to the NQTL</w:t>
            </w:r>
          </w:p>
        </w:tc>
      </w:tr>
      <w:tr w:rsidR="002C4430" w:rsidRPr="00D61E32" w14:paraId="7BEAA40A" w14:textId="77777777" w:rsidTr="00F22FCC">
        <w:trPr>
          <w:trHeight w:val="647"/>
        </w:trPr>
        <w:tc>
          <w:tcPr>
            <w:tcW w:w="5000" w:type="pct"/>
            <w:gridSpan w:val="2"/>
            <w:tcBorders>
              <w:top w:val="single" w:sz="4" w:space="0" w:color="auto"/>
              <w:left w:val="single" w:sz="4" w:space="0" w:color="auto"/>
              <w:bottom w:val="single" w:sz="4" w:space="0" w:color="auto"/>
              <w:right w:val="single" w:sz="4" w:space="0" w:color="auto"/>
            </w:tcBorders>
          </w:tcPr>
          <w:p w14:paraId="6C4E3F6D" w14:textId="77777777" w:rsidR="002C4430" w:rsidRPr="00D61E32" w:rsidRDefault="002C4430">
            <w:pPr>
              <w:rPr>
                <w:rFonts w:ascii="Century Gothic" w:hAnsi="Century Gothic" w:cs="Arial"/>
                <w:bCs/>
              </w:rPr>
            </w:pPr>
            <w:r w:rsidRPr="00D61E32">
              <w:rPr>
                <w:rFonts w:ascii="Century Gothic" w:hAnsi="Century Gothic" w:cs="Arial"/>
                <w:b/>
                <w:bCs/>
                <w:i/>
              </w:rPr>
              <w:t>Step 1(a): Provide a clear description of the specific NQTL, plan terms, and policies at issue</w:t>
            </w:r>
            <w:r w:rsidRPr="00D61E32">
              <w:rPr>
                <w:rFonts w:ascii="Century Gothic" w:hAnsi="Century Gothic" w:cs="Arial"/>
                <w:bCs/>
              </w:rPr>
              <w:t xml:space="preserve">: </w:t>
            </w:r>
          </w:p>
          <w:p w14:paraId="1A4211D0" w14:textId="77777777" w:rsidR="002C4430" w:rsidRPr="00D61E32" w:rsidRDefault="002C4430">
            <w:pPr>
              <w:rPr>
                <w:rFonts w:ascii="Century Gothic" w:hAnsi="Century Gothic" w:cs="Arial"/>
                <w:iCs/>
              </w:rPr>
            </w:pPr>
            <w:r w:rsidRPr="00D61E32">
              <w:rPr>
                <w:rFonts w:ascii="Century Gothic" w:hAnsi="Century Gothic" w:cs="Arial"/>
                <w:iCs/>
              </w:rPr>
              <w:t xml:space="preserve">Out-of-network (OON) reimbursement applies to claims where the submitting provider has not </w:t>
            </w:r>
            <w:proofErr w:type="gramStart"/>
            <w:r w:rsidRPr="00D61E32">
              <w:rPr>
                <w:rFonts w:ascii="Century Gothic" w:hAnsi="Century Gothic" w:cs="Arial"/>
                <w:iCs/>
              </w:rPr>
              <w:t>entered into</w:t>
            </w:r>
            <w:proofErr w:type="gramEnd"/>
            <w:r w:rsidRPr="00D61E32">
              <w:rPr>
                <w:rFonts w:ascii="Century Gothic" w:hAnsi="Century Gothic" w:cs="Arial"/>
                <w:iCs/>
              </w:rPr>
              <w:t xml:space="preserve"> a contractual arrangement. </w:t>
            </w:r>
          </w:p>
          <w:p w14:paraId="148C9EE1" w14:textId="77777777" w:rsidR="002C4430" w:rsidRPr="00D61E32" w:rsidRDefault="002C4430">
            <w:pPr>
              <w:rPr>
                <w:rFonts w:ascii="Century Gothic" w:hAnsi="Century Gothic" w:cs="Arial"/>
                <w:iCs/>
              </w:rPr>
            </w:pPr>
            <w:r w:rsidRPr="00D61E32">
              <w:rPr>
                <w:rFonts w:ascii="Century Gothic" w:hAnsi="Century Gothic" w:cs="Arial"/>
                <w:iCs/>
              </w:rPr>
              <w:t xml:space="preserve">Wellfleet reimburses Out-Of-Network providers through Reasonable and Customary (R&amp;C) methodology. Wellfleet uses Fair Health as our source for Reasonable and Customary (R&amp;C) Data.  Wellfleet downloads Fair Health data several times a year and uses that data to reimburse out of network services according to the specific plans out of network benefit level.  </w:t>
            </w:r>
          </w:p>
          <w:p w14:paraId="7D8895E0" w14:textId="24433C71" w:rsidR="002C4430" w:rsidRPr="00D61E32" w:rsidRDefault="002C4430">
            <w:pPr>
              <w:rPr>
                <w:rFonts w:ascii="Century Gothic" w:hAnsi="Century Gothic" w:cs="Arial"/>
              </w:rPr>
            </w:pPr>
            <w:r w:rsidRPr="00D61E32">
              <w:rPr>
                <w:rFonts w:ascii="Century Gothic" w:hAnsi="Century Gothic" w:cs="Arial"/>
              </w:rPr>
              <w:t xml:space="preserve">After applying R&amp;C, OON outpatient and OON emergency, as well as all original OON inpatient M/S benefit claims are sent to Zelis. Zelis applies Established Reimbursement Schedule (ERS) rates to all OON inpatient, OON outpatient (except ambulance), and OON emergency M/S benefits. Zelis applies their Network rates to any applicable OON inpatient, OON outpatient, and OON emergency M/S benefits for comparison to the ERS rates. Zelis performs the negotiations for out of network claims and after the negotiation is complete the claim is sent back to Wellfleet’s </w:t>
            </w:r>
            <w:r w:rsidR="00F22FCC">
              <w:rPr>
                <w:rFonts w:ascii="Century Gothic" w:hAnsi="Century Gothic" w:cs="Arial"/>
              </w:rPr>
              <w:t>Claim</w:t>
            </w:r>
            <w:r w:rsidRPr="00D61E32">
              <w:rPr>
                <w:rFonts w:ascii="Century Gothic" w:hAnsi="Century Gothic" w:cs="Arial"/>
              </w:rPr>
              <w:t xml:space="preserve"> Team with the discount applied for processing. The review conducted by Zelis only occurs on M/S claims because Zelis’s goal is to obtain a discount or lower the rate for M/S benefits. This process is not applied to </w:t>
            </w:r>
            <w:r w:rsidR="00F22FCC">
              <w:rPr>
                <w:rFonts w:ascii="Century Gothic" w:hAnsi="Century Gothic" w:cs="Arial"/>
              </w:rPr>
              <w:t xml:space="preserve">outpatient </w:t>
            </w:r>
            <w:r w:rsidRPr="00D61E32">
              <w:rPr>
                <w:rFonts w:ascii="Century Gothic" w:hAnsi="Century Gothic" w:cs="Arial"/>
              </w:rPr>
              <w:t xml:space="preserve">MH/SUD claims. </w:t>
            </w:r>
          </w:p>
        </w:tc>
      </w:tr>
      <w:tr w:rsidR="002C4430" w:rsidRPr="00D61E32" w14:paraId="5BEDCCBE" w14:textId="77777777" w:rsidTr="00F22FCC">
        <w:trPr>
          <w:trHeight w:val="1367"/>
        </w:trPr>
        <w:tc>
          <w:tcPr>
            <w:tcW w:w="2476" w:type="pct"/>
            <w:tcBorders>
              <w:top w:val="single" w:sz="4" w:space="0" w:color="auto"/>
              <w:left w:val="single" w:sz="4" w:space="0" w:color="auto"/>
              <w:bottom w:val="single" w:sz="4" w:space="0" w:color="auto"/>
              <w:right w:val="single" w:sz="4" w:space="0" w:color="auto"/>
            </w:tcBorders>
          </w:tcPr>
          <w:p w14:paraId="7604A83B" w14:textId="69917BD2" w:rsidR="002C4430" w:rsidRPr="00D61E32" w:rsidRDefault="002C4430">
            <w:pPr>
              <w:rPr>
                <w:rFonts w:ascii="Century Gothic" w:hAnsi="Century Gothic" w:cs="Arial"/>
              </w:rPr>
            </w:pPr>
            <w:r w:rsidRPr="00D61E32">
              <w:rPr>
                <w:rFonts w:ascii="Century Gothic" w:hAnsi="Century Gothic" w:cs="Arial"/>
                <w:b/>
                <w:i/>
              </w:rPr>
              <w:t>Step 1(b): Identify the M/S benefits/services for which the NQTL is required</w:t>
            </w:r>
            <w:r w:rsidRPr="00D61E32">
              <w:rPr>
                <w:rFonts w:ascii="Century Gothic" w:hAnsi="Century Gothic" w:cs="Arial"/>
              </w:rPr>
              <w:t>:</w:t>
            </w:r>
          </w:p>
          <w:p w14:paraId="20FC09FB" w14:textId="55846E39" w:rsidR="002C4430" w:rsidRPr="00D61E32" w:rsidRDefault="002C4430" w:rsidP="00EE19D5">
            <w:pPr>
              <w:rPr>
                <w:rFonts w:ascii="Century Gothic" w:hAnsi="Century Gothic" w:cs="Arial"/>
              </w:rPr>
            </w:pPr>
            <w:r w:rsidRPr="00D61E32">
              <w:rPr>
                <w:rFonts w:ascii="Century Gothic" w:hAnsi="Century Gothic" w:cs="Arial"/>
              </w:rPr>
              <w:t>All out of</w:t>
            </w:r>
            <w:r w:rsidR="002930BA" w:rsidRPr="00D61E32">
              <w:rPr>
                <w:rFonts w:ascii="Century Gothic" w:hAnsi="Century Gothic" w:cs="Arial"/>
              </w:rPr>
              <w:t xml:space="preserve"> </w:t>
            </w:r>
            <w:r w:rsidRPr="00D61E32">
              <w:rPr>
                <w:rFonts w:ascii="Century Gothic" w:hAnsi="Century Gothic" w:cs="Arial"/>
              </w:rPr>
              <w:t xml:space="preserve">network benefits and services </w:t>
            </w:r>
          </w:p>
        </w:tc>
        <w:tc>
          <w:tcPr>
            <w:tcW w:w="2524" w:type="pct"/>
            <w:tcBorders>
              <w:top w:val="single" w:sz="4" w:space="0" w:color="auto"/>
              <w:left w:val="single" w:sz="4" w:space="0" w:color="auto"/>
              <w:bottom w:val="single" w:sz="4" w:space="0" w:color="auto"/>
              <w:right w:val="single" w:sz="4" w:space="0" w:color="auto"/>
            </w:tcBorders>
          </w:tcPr>
          <w:p w14:paraId="289AEF1B" w14:textId="0D48167D" w:rsidR="002C4430" w:rsidRPr="00D11971" w:rsidRDefault="002C4430">
            <w:pPr>
              <w:rPr>
                <w:rFonts w:ascii="Century Gothic" w:hAnsi="Century Gothic" w:cs="Arial"/>
              </w:rPr>
            </w:pPr>
            <w:r w:rsidRPr="00D61E32">
              <w:rPr>
                <w:rFonts w:ascii="Century Gothic" w:hAnsi="Century Gothic" w:cs="Arial"/>
                <w:b/>
                <w:i/>
              </w:rPr>
              <w:t>Step 1(b): Identify the MH/SUD benefits/services for which the NQTL is required</w:t>
            </w:r>
            <w:r w:rsidRPr="00D61E32">
              <w:rPr>
                <w:rFonts w:ascii="Century Gothic" w:hAnsi="Century Gothic" w:cs="Arial"/>
              </w:rPr>
              <w:t>:</w:t>
            </w:r>
          </w:p>
          <w:p w14:paraId="723AFC4B" w14:textId="25AB1258" w:rsidR="002C4430" w:rsidRPr="00D61E32" w:rsidRDefault="002C4430">
            <w:pPr>
              <w:rPr>
                <w:rFonts w:ascii="Century Gothic" w:hAnsi="Century Gothic" w:cs="Arial"/>
                <w:bCs/>
                <w:iCs/>
              </w:rPr>
            </w:pPr>
            <w:r w:rsidRPr="00D61E32">
              <w:rPr>
                <w:rFonts w:ascii="Century Gothic" w:hAnsi="Century Gothic" w:cs="Arial"/>
                <w:bCs/>
                <w:iCs/>
              </w:rPr>
              <w:t xml:space="preserve">All out of network benefits and services </w:t>
            </w:r>
          </w:p>
        </w:tc>
      </w:tr>
      <w:tr w:rsidR="002C4430" w:rsidRPr="00D61E32" w14:paraId="112BB23B" w14:textId="77777777" w:rsidTr="002C4430">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48CD5" w14:textId="77777777" w:rsidR="002C4430" w:rsidRPr="00D61E32" w:rsidRDefault="002C4430">
            <w:pPr>
              <w:rPr>
                <w:rFonts w:ascii="Century Gothic" w:hAnsi="Century Gothic" w:cs="Arial"/>
                <w:b/>
                <w:bCs/>
              </w:rPr>
            </w:pPr>
            <w:r w:rsidRPr="00D61E32">
              <w:rPr>
                <w:rFonts w:ascii="Century Gothic" w:hAnsi="Century Gothic" w:cs="Arial"/>
                <w:b/>
                <w:bCs/>
              </w:rPr>
              <w:t>Step 2 – Identify the factors used to determine that the NQTL will apply to mental health or substance use disorder benefits and medical or surgical benefits</w:t>
            </w:r>
          </w:p>
        </w:tc>
      </w:tr>
      <w:tr w:rsidR="002C4430" w:rsidRPr="00D61E32" w14:paraId="2FCE3FB9" w14:textId="77777777" w:rsidTr="002C4430">
        <w:trPr>
          <w:trHeight w:val="314"/>
        </w:trPr>
        <w:tc>
          <w:tcPr>
            <w:tcW w:w="247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46135A8" w14:textId="77777777" w:rsidR="002C4430" w:rsidRPr="00D61E32" w:rsidRDefault="002C4430">
            <w:pPr>
              <w:rPr>
                <w:rFonts w:ascii="Century Gothic" w:hAnsi="Century Gothic" w:cs="Arial"/>
                <w:u w:val="single"/>
              </w:rPr>
            </w:pPr>
            <w:r w:rsidRPr="00D61E32">
              <w:rPr>
                <w:rFonts w:ascii="Century Gothic" w:hAnsi="Century Gothic" w:cs="Arial"/>
                <w:b/>
                <w:u w:val="single"/>
              </w:rPr>
              <w:t>Medical/Surgical</w:t>
            </w:r>
            <w:r w:rsidRPr="00D61E32">
              <w:rPr>
                <w:rFonts w:ascii="Century Gothic" w:hAnsi="Century Gothic" w:cs="Arial"/>
                <w:u w:val="single"/>
              </w:rPr>
              <w:t>:</w:t>
            </w:r>
          </w:p>
        </w:tc>
        <w:tc>
          <w:tcPr>
            <w:tcW w:w="252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0545F06" w14:textId="77777777" w:rsidR="002C4430" w:rsidRPr="00D61E32" w:rsidRDefault="002C4430">
            <w:pPr>
              <w:rPr>
                <w:rFonts w:ascii="Century Gothic" w:hAnsi="Century Gothic" w:cs="Arial"/>
                <w:u w:val="single"/>
              </w:rPr>
            </w:pPr>
            <w:r w:rsidRPr="00D61E32">
              <w:rPr>
                <w:rFonts w:ascii="Century Gothic" w:hAnsi="Century Gothic" w:cs="Arial"/>
                <w:b/>
                <w:u w:val="single"/>
              </w:rPr>
              <w:t>MH/SUD</w:t>
            </w:r>
            <w:r w:rsidRPr="00D61E32">
              <w:rPr>
                <w:rFonts w:ascii="Century Gothic" w:hAnsi="Century Gothic" w:cs="Arial"/>
                <w:u w:val="single"/>
              </w:rPr>
              <w:t>:</w:t>
            </w:r>
          </w:p>
        </w:tc>
      </w:tr>
      <w:tr w:rsidR="002C4430" w:rsidRPr="00D61E32" w14:paraId="4BDE7F5B" w14:textId="77777777" w:rsidTr="002C4430">
        <w:trPr>
          <w:trHeight w:val="1430"/>
        </w:trPr>
        <w:tc>
          <w:tcPr>
            <w:tcW w:w="2476" w:type="pct"/>
            <w:tcBorders>
              <w:top w:val="single" w:sz="4" w:space="0" w:color="auto"/>
              <w:left w:val="single" w:sz="4" w:space="0" w:color="auto"/>
              <w:bottom w:val="single" w:sz="4" w:space="0" w:color="auto"/>
              <w:right w:val="single" w:sz="4" w:space="0" w:color="auto"/>
            </w:tcBorders>
          </w:tcPr>
          <w:p w14:paraId="4BE2A99C" w14:textId="77777777" w:rsidR="002C4430" w:rsidRPr="00D61E32" w:rsidRDefault="002C4430">
            <w:pPr>
              <w:rPr>
                <w:rFonts w:ascii="Century Gothic" w:hAnsi="Century Gothic" w:cs="Arial"/>
                <w:b/>
                <w:bCs/>
                <w:iCs/>
              </w:rPr>
            </w:pPr>
            <w:r w:rsidRPr="00D61E32">
              <w:rPr>
                <w:rFonts w:ascii="Century Gothic" w:hAnsi="Century Gothic" w:cs="Arial"/>
                <w:b/>
                <w:bCs/>
                <w:iCs/>
              </w:rPr>
              <w:t>Factors</w:t>
            </w:r>
          </w:p>
          <w:p w14:paraId="5C2B048B" w14:textId="77777777" w:rsidR="002C4430" w:rsidRPr="00D61E32" w:rsidRDefault="002C4430">
            <w:pPr>
              <w:rPr>
                <w:rFonts w:ascii="Century Gothic" w:hAnsi="Century Gothic" w:cs="Arial"/>
                <w:iCs/>
              </w:rPr>
            </w:pPr>
            <w:r w:rsidRPr="00D61E32">
              <w:rPr>
                <w:rFonts w:ascii="Century Gothic" w:hAnsi="Century Gothic" w:cs="Arial"/>
                <w:iCs/>
              </w:rPr>
              <w:t xml:space="preserve">Factors considered in determining provider reimbursement for </w:t>
            </w:r>
            <w:r w:rsidRPr="00D61E32">
              <w:rPr>
                <w:rFonts w:ascii="Century Gothic" w:hAnsi="Century Gothic" w:cs="Arial"/>
                <w:b/>
                <w:iCs/>
              </w:rPr>
              <w:t>Out-of-Network (OON) services</w:t>
            </w:r>
            <w:r w:rsidRPr="00D61E32">
              <w:rPr>
                <w:rFonts w:ascii="Century Gothic" w:hAnsi="Century Gothic" w:cs="Arial"/>
                <w:iCs/>
              </w:rPr>
              <w:t>:</w:t>
            </w:r>
          </w:p>
          <w:p w14:paraId="795A2CBF" w14:textId="77777777" w:rsidR="002C4430" w:rsidRPr="00D61E32" w:rsidRDefault="002C4430" w:rsidP="002C4430">
            <w:pPr>
              <w:numPr>
                <w:ilvl w:val="0"/>
                <w:numId w:val="31"/>
              </w:numPr>
              <w:spacing w:after="0" w:line="240" w:lineRule="auto"/>
              <w:rPr>
                <w:rFonts w:ascii="Century Gothic" w:hAnsi="Century Gothic" w:cs="Arial"/>
                <w:iCs/>
              </w:rPr>
            </w:pPr>
            <w:r w:rsidRPr="00D61E32">
              <w:rPr>
                <w:rFonts w:ascii="Century Gothic" w:hAnsi="Century Gothic" w:cs="Arial"/>
                <w:iCs/>
              </w:rPr>
              <w:t xml:space="preserve">Provider Type </w:t>
            </w:r>
          </w:p>
          <w:p w14:paraId="13739CF1" w14:textId="77777777" w:rsidR="002C4430" w:rsidRPr="00D61E32" w:rsidRDefault="002C4430" w:rsidP="002C4430">
            <w:pPr>
              <w:numPr>
                <w:ilvl w:val="0"/>
                <w:numId w:val="31"/>
              </w:numPr>
              <w:spacing w:after="0" w:line="240" w:lineRule="auto"/>
              <w:rPr>
                <w:rFonts w:ascii="Century Gothic" w:hAnsi="Century Gothic" w:cs="Arial"/>
                <w:iCs/>
              </w:rPr>
            </w:pPr>
            <w:r w:rsidRPr="00D61E32">
              <w:rPr>
                <w:rFonts w:ascii="Century Gothic" w:hAnsi="Century Gothic" w:cs="Arial"/>
                <w:iCs/>
              </w:rPr>
              <w:t>Services and/or Procedures Provided</w:t>
            </w:r>
          </w:p>
          <w:p w14:paraId="55587F46" w14:textId="77777777" w:rsidR="002C4430" w:rsidRPr="00D61E32" w:rsidRDefault="002C4430" w:rsidP="002C4430">
            <w:pPr>
              <w:numPr>
                <w:ilvl w:val="0"/>
                <w:numId w:val="31"/>
              </w:numPr>
              <w:spacing w:after="0" w:line="240" w:lineRule="auto"/>
              <w:rPr>
                <w:rFonts w:ascii="Century Gothic" w:hAnsi="Century Gothic" w:cs="Arial"/>
                <w:iCs/>
              </w:rPr>
            </w:pPr>
            <w:r w:rsidRPr="00D61E32">
              <w:rPr>
                <w:rFonts w:ascii="Century Gothic" w:hAnsi="Century Gothic" w:cs="Arial"/>
                <w:iCs/>
              </w:rPr>
              <w:t>Geographic location</w:t>
            </w:r>
          </w:p>
          <w:p w14:paraId="3F178356" w14:textId="77777777" w:rsidR="002C4430" w:rsidRPr="00D61E32" w:rsidRDefault="002C4430" w:rsidP="002C4430">
            <w:pPr>
              <w:numPr>
                <w:ilvl w:val="0"/>
                <w:numId w:val="31"/>
              </w:numPr>
              <w:spacing w:after="0" w:line="240" w:lineRule="auto"/>
              <w:rPr>
                <w:rFonts w:ascii="Century Gothic" w:hAnsi="Century Gothic" w:cs="Arial"/>
                <w:iCs/>
              </w:rPr>
            </w:pPr>
            <w:r w:rsidRPr="00D61E32">
              <w:rPr>
                <w:rFonts w:ascii="Century Gothic" w:hAnsi="Century Gothic" w:cs="Arial"/>
                <w:iCs/>
              </w:rPr>
              <w:t xml:space="preserve">Industry Benchmark Rates/Methodology </w:t>
            </w:r>
          </w:p>
          <w:p w14:paraId="19D6AFAE" w14:textId="3182F4AD" w:rsidR="002C4430" w:rsidRPr="00D11971" w:rsidRDefault="002C4430">
            <w:pPr>
              <w:rPr>
                <w:rFonts w:ascii="Century Gothic" w:hAnsi="Century Gothic" w:cs="Arial"/>
                <w:bCs/>
                <w:iCs/>
              </w:rPr>
            </w:pPr>
            <w:r w:rsidRPr="00D61E32">
              <w:rPr>
                <w:rFonts w:ascii="Century Gothic" w:hAnsi="Century Gothic" w:cs="Arial"/>
                <w:iCs/>
              </w:rPr>
              <w:t>The factors are not weighted. Reimbursement is based on standard fee schedules, which are developed by looking at provider type, the services/procedures provided, and using industry benchmark rates</w:t>
            </w:r>
          </w:p>
        </w:tc>
        <w:tc>
          <w:tcPr>
            <w:tcW w:w="2524" w:type="pct"/>
            <w:tcBorders>
              <w:top w:val="single" w:sz="4" w:space="0" w:color="auto"/>
              <w:left w:val="single" w:sz="4" w:space="0" w:color="auto"/>
              <w:bottom w:val="single" w:sz="4" w:space="0" w:color="auto"/>
              <w:right w:val="single" w:sz="4" w:space="0" w:color="auto"/>
            </w:tcBorders>
          </w:tcPr>
          <w:p w14:paraId="6F813BC2" w14:textId="77777777" w:rsidR="002C4430" w:rsidRPr="00D61E32" w:rsidRDefault="002C4430">
            <w:pPr>
              <w:rPr>
                <w:rFonts w:ascii="Century Gothic" w:hAnsi="Century Gothic" w:cs="Arial"/>
                <w:iCs/>
              </w:rPr>
            </w:pPr>
            <w:r w:rsidRPr="00D61E32">
              <w:rPr>
                <w:rFonts w:ascii="Century Gothic" w:hAnsi="Century Gothic" w:cs="Arial"/>
                <w:iCs/>
              </w:rPr>
              <w:t>Same as M/S</w:t>
            </w:r>
          </w:p>
        </w:tc>
      </w:tr>
      <w:tr w:rsidR="002C4430" w:rsidRPr="00D61E32" w14:paraId="266F1B64" w14:textId="77777777" w:rsidTr="002C4430">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8A5E5" w14:textId="77777777" w:rsidR="002C4430" w:rsidRPr="00D61E32" w:rsidRDefault="002C4430">
            <w:pPr>
              <w:rPr>
                <w:rFonts w:ascii="Century Gothic" w:hAnsi="Century Gothic" w:cs="Arial"/>
                <w:b/>
                <w:bCs/>
              </w:rPr>
            </w:pPr>
            <w:r w:rsidRPr="00D61E32">
              <w:rPr>
                <w:rFonts w:ascii="Century Gothic" w:hAnsi="Century Gothic" w:cs="Arial"/>
                <w:b/>
                <w:bCs/>
              </w:rPr>
              <w:t>Step 3 – Identify the evidentiary standards used for the factors identified in Step 2, when applicable, provided that every factor shall be defined, and any other source or evidence relied upon to design and apply the NQTL to mental health or substance use disorder benefits and medical or surgical benefits.</w:t>
            </w:r>
          </w:p>
          <w:p w14:paraId="799101E1" w14:textId="77777777" w:rsidR="002C4430" w:rsidRPr="00D61E32" w:rsidRDefault="002C4430" w:rsidP="002C4430">
            <w:pPr>
              <w:numPr>
                <w:ilvl w:val="0"/>
                <w:numId w:val="20"/>
              </w:numPr>
              <w:spacing w:after="0" w:line="240" w:lineRule="auto"/>
              <w:rPr>
                <w:rFonts w:ascii="Century Gothic" w:hAnsi="Century Gothic" w:cs="Arial"/>
                <w:bCs/>
                <w:i/>
              </w:rPr>
            </w:pPr>
            <w:r w:rsidRPr="00D61E32">
              <w:rPr>
                <w:rFonts w:ascii="Century Gothic" w:hAnsi="Century Gothic" w:cs="Arial"/>
                <w:bCs/>
                <w:i/>
              </w:rPr>
              <w:t>Analyses should explain whether any factors were given more weight than others and the reason(s) for doing so, including an evaluation of any specific data used in the determination.</w:t>
            </w:r>
          </w:p>
          <w:p w14:paraId="4B01FDB6" w14:textId="77777777" w:rsidR="002C4430" w:rsidRPr="00D61E32" w:rsidRDefault="002C4430" w:rsidP="002C4430">
            <w:pPr>
              <w:numPr>
                <w:ilvl w:val="0"/>
                <w:numId w:val="20"/>
              </w:numPr>
              <w:spacing w:after="0" w:line="240" w:lineRule="auto"/>
              <w:rPr>
                <w:rFonts w:ascii="Century Gothic" w:hAnsi="Century Gothic" w:cs="Arial"/>
                <w:bCs/>
                <w:i/>
              </w:rPr>
            </w:pPr>
            <w:r w:rsidRPr="00D61E32">
              <w:rPr>
                <w:rFonts w:ascii="Century Gothic" w:hAnsi="Century Gothic" w:cs="Arial"/>
                <w:bCs/>
                <w:i/>
              </w:rPr>
              <w:t>To the extent the plan or issuer defines any of the factors, evidentiary standards, strategies, or processes in a quantitative manner, it must include the precise definitions used and any supporting sources.</w:t>
            </w:r>
          </w:p>
        </w:tc>
      </w:tr>
      <w:tr w:rsidR="002C4430" w:rsidRPr="00D61E32" w14:paraId="5E9BE244" w14:textId="77777777" w:rsidTr="002C4430">
        <w:trPr>
          <w:trHeight w:val="620"/>
        </w:trPr>
        <w:tc>
          <w:tcPr>
            <w:tcW w:w="247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F7A90DD" w14:textId="77777777" w:rsidR="002C4430" w:rsidRPr="00D61E32" w:rsidRDefault="002C4430">
            <w:pPr>
              <w:rPr>
                <w:rFonts w:ascii="Century Gothic" w:hAnsi="Century Gothic" w:cs="Arial"/>
                <w:u w:val="single"/>
              </w:rPr>
            </w:pPr>
            <w:r w:rsidRPr="00D61E32">
              <w:rPr>
                <w:rFonts w:ascii="Century Gothic" w:hAnsi="Century Gothic" w:cs="Arial"/>
                <w:b/>
                <w:u w:val="single"/>
              </w:rPr>
              <w:t>Medical/Surgical</w:t>
            </w:r>
            <w:r w:rsidRPr="00D61E32">
              <w:rPr>
                <w:rFonts w:ascii="Century Gothic" w:hAnsi="Century Gothic" w:cs="Arial"/>
                <w:u w:val="single"/>
              </w:rPr>
              <w:t>:</w:t>
            </w:r>
          </w:p>
        </w:tc>
        <w:tc>
          <w:tcPr>
            <w:tcW w:w="252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C143756" w14:textId="77777777" w:rsidR="002C4430" w:rsidRPr="00D61E32" w:rsidRDefault="002C4430">
            <w:pPr>
              <w:rPr>
                <w:rFonts w:ascii="Century Gothic" w:hAnsi="Century Gothic" w:cs="Arial"/>
                <w:u w:val="single"/>
              </w:rPr>
            </w:pPr>
            <w:r w:rsidRPr="00D61E32">
              <w:rPr>
                <w:rFonts w:ascii="Century Gothic" w:hAnsi="Century Gothic" w:cs="Arial"/>
                <w:b/>
                <w:u w:val="single"/>
              </w:rPr>
              <w:t>MH/SUD</w:t>
            </w:r>
            <w:r w:rsidRPr="00D61E32">
              <w:rPr>
                <w:rFonts w:ascii="Century Gothic" w:hAnsi="Century Gothic" w:cs="Arial"/>
                <w:u w:val="single"/>
              </w:rPr>
              <w:t>:</w:t>
            </w:r>
          </w:p>
        </w:tc>
      </w:tr>
      <w:tr w:rsidR="002C4430" w:rsidRPr="00D61E32" w14:paraId="525B6A8B" w14:textId="77777777" w:rsidTr="002C4430">
        <w:trPr>
          <w:trHeight w:val="620"/>
        </w:trPr>
        <w:tc>
          <w:tcPr>
            <w:tcW w:w="2476" w:type="pct"/>
            <w:tcBorders>
              <w:top w:val="single" w:sz="4" w:space="0" w:color="auto"/>
              <w:left w:val="single" w:sz="4" w:space="0" w:color="auto"/>
              <w:bottom w:val="single" w:sz="4" w:space="0" w:color="auto"/>
              <w:right w:val="single" w:sz="4" w:space="0" w:color="auto"/>
            </w:tcBorders>
          </w:tcPr>
          <w:p w14:paraId="5A8B368C" w14:textId="77777777" w:rsidR="002C4430" w:rsidRPr="00D61E32" w:rsidRDefault="002C4430" w:rsidP="002C4430">
            <w:pPr>
              <w:numPr>
                <w:ilvl w:val="0"/>
                <w:numId w:val="32"/>
              </w:numPr>
              <w:spacing w:after="0" w:line="240" w:lineRule="auto"/>
              <w:ind w:left="360"/>
              <w:rPr>
                <w:rFonts w:ascii="Century Gothic" w:hAnsi="Century Gothic" w:cs="Arial"/>
                <w:b/>
              </w:rPr>
            </w:pPr>
            <w:r w:rsidRPr="00D61E32">
              <w:rPr>
                <w:rFonts w:ascii="Century Gothic" w:hAnsi="Century Gothic" w:cs="Arial"/>
                <w:b/>
              </w:rPr>
              <w:t xml:space="preserve">Provider Type </w:t>
            </w:r>
          </w:p>
          <w:p w14:paraId="29B871F3" w14:textId="77777777" w:rsidR="002C4430" w:rsidRPr="00D61E32" w:rsidRDefault="002C4430">
            <w:pPr>
              <w:ind w:left="360"/>
              <w:rPr>
                <w:rFonts w:ascii="Century Gothic" w:hAnsi="Century Gothic" w:cs="Arial"/>
              </w:rPr>
            </w:pPr>
            <w:r w:rsidRPr="00D61E32">
              <w:rPr>
                <w:rFonts w:ascii="Century Gothic" w:hAnsi="Century Gothic" w:cs="Arial"/>
                <w:u w:val="single"/>
              </w:rPr>
              <w:t>Definition:</w:t>
            </w:r>
            <w:r w:rsidRPr="00D61E32">
              <w:rPr>
                <w:rFonts w:ascii="Century Gothic" w:hAnsi="Century Gothic" w:cs="Arial"/>
              </w:rPr>
              <w:t xml:space="preserve"> physician vs. non-physician, specialty</w:t>
            </w:r>
          </w:p>
          <w:p w14:paraId="23F84FFF" w14:textId="77777777" w:rsidR="002C4430" w:rsidRPr="00D61E32" w:rsidRDefault="002C4430">
            <w:pPr>
              <w:ind w:left="360"/>
              <w:rPr>
                <w:rFonts w:ascii="Century Gothic" w:hAnsi="Century Gothic" w:cs="Arial"/>
              </w:rPr>
            </w:pPr>
            <w:r w:rsidRPr="00D61E32">
              <w:rPr>
                <w:rFonts w:ascii="Century Gothic" w:hAnsi="Century Gothic" w:cs="Arial"/>
                <w:u w:val="single"/>
              </w:rPr>
              <w:t>Evidentiary Standards:</w:t>
            </w:r>
            <w:r w:rsidRPr="00D61E32">
              <w:rPr>
                <w:rFonts w:ascii="Century Gothic" w:hAnsi="Century Gothic" w:cs="Arial"/>
              </w:rPr>
              <w:t xml:space="preserve"> The provider type and/or specialty is assessed based upon the provider’s credentials, licensure, board certification, education, and </w:t>
            </w:r>
            <w:proofErr w:type="gramStart"/>
            <w:r w:rsidRPr="00D61E32">
              <w:rPr>
                <w:rFonts w:ascii="Century Gothic" w:hAnsi="Century Gothic" w:cs="Arial"/>
              </w:rPr>
              <w:t>training</w:t>
            </w:r>
            <w:proofErr w:type="gramEnd"/>
          </w:p>
          <w:p w14:paraId="08219F84" w14:textId="77777777" w:rsidR="002C4430" w:rsidRPr="00D61E32" w:rsidRDefault="002C4430">
            <w:pPr>
              <w:ind w:left="360"/>
              <w:rPr>
                <w:rFonts w:ascii="Century Gothic" w:hAnsi="Century Gothic" w:cs="Arial"/>
              </w:rPr>
            </w:pPr>
            <w:r w:rsidRPr="00D61E32">
              <w:rPr>
                <w:rFonts w:ascii="Century Gothic" w:hAnsi="Century Gothic" w:cs="Arial"/>
                <w:u w:val="single"/>
              </w:rPr>
              <w:t>Sources:</w:t>
            </w:r>
            <w:r w:rsidRPr="00D61E32">
              <w:rPr>
                <w:rFonts w:ascii="Century Gothic" w:hAnsi="Century Gothic" w:cs="Arial"/>
              </w:rPr>
              <w:t xml:space="preserve"> Provider credentialing application and/or claims data (i.e., taxonomy, provider specialty and type codes)</w:t>
            </w:r>
          </w:p>
          <w:p w14:paraId="1BA78E26" w14:textId="77777777" w:rsidR="002C4430" w:rsidRPr="00D61E32" w:rsidRDefault="002C4430" w:rsidP="002C4430">
            <w:pPr>
              <w:numPr>
                <w:ilvl w:val="0"/>
                <w:numId w:val="32"/>
              </w:numPr>
              <w:spacing w:after="0" w:line="240" w:lineRule="auto"/>
              <w:ind w:left="360"/>
              <w:rPr>
                <w:rFonts w:ascii="Century Gothic" w:hAnsi="Century Gothic" w:cs="Arial"/>
                <w:b/>
              </w:rPr>
            </w:pPr>
            <w:r w:rsidRPr="00D61E32">
              <w:rPr>
                <w:rFonts w:ascii="Century Gothic" w:hAnsi="Century Gothic" w:cs="Arial"/>
                <w:b/>
              </w:rPr>
              <w:t>Services and/or Procedures Provided</w:t>
            </w:r>
          </w:p>
          <w:p w14:paraId="0604FBA9" w14:textId="77777777" w:rsidR="002C4430" w:rsidRPr="00D61E32" w:rsidRDefault="002C4430">
            <w:pPr>
              <w:ind w:left="360"/>
              <w:rPr>
                <w:rFonts w:ascii="Century Gothic" w:hAnsi="Century Gothic" w:cs="Arial"/>
                <w:b/>
              </w:rPr>
            </w:pPr>
            <w:r w:rsidRPr="00D61E32">
              <w:rPr>
                <w:rFonts w:ascii="Century Gothic" w:hAnsi="Century Gothic" w:cs="Arial"/>
                <w:u w:val="single"/>
              </w:rPr>
              <w:t>Definition:</w:t>
            </w:r>
            <w:r w:rsidRPr="00D61E32">
              <w:rPr>
                <w:rFonts w:ascii="Century Gothic" w:hAnsi="Century Gothic" w:cs="Arial"/>
              </w:rPr>
              <w:t xml:space="preserve"> services and/or procedures provided</w:t>
            </w:r>
          </w:p>
          <w:p w14:paraId="08372A2F" w14:textId="77777777" w:rsidR="002C4430" w:rsidRPr="00D61E32" w:rsidRDefault="002C4430">
            <w:pPr>
              <w:ind w:left="360"/>
              <w:rPr>
                <w:rFonts w:ascii="Century Gothic" w:hAnsi="Century Gothic" w:cs="Arial"/>
              </w:rPr>
            </w:pPr>
            <w:r w:rsidRPr="00D61E32">
              <w:rPr>
                <w:rFonts w:ascii="Century Gothic" w:hAnsi="Century Gothic" w:cs="Arial"/>
                <w:u w:val="single"/>
              </w:rPr>
              <w:t>Evidentiary Standards:</w:t>
            </w:r>
            <w:r w:rsidRPr="00D61E32">
              <w:rPr>
                <w:rFonts w:ascii="Century Gothic" w:hAnsi="Century Gothic" w:cs="Arial"/>
              </w:rPr>
              <w:t xml:space="preserve"> Most current version of industry standard code sets, e.g., CPT, HCPCS, etc.</w:t>
            </w:r>
          </w:p>
          <w:p w14:paraId="656BF505" w14:textId="30A827EC" w:rsidR="002C4430" w:rsidRPr="00D61E32" w:rsidRDefault="002C4430" w:rsidP="00D11971">
            <w:pPr>
              <w:ind w:left="360"/>
              <w:rPr>
                <w:rFonts w:ascii="Century Gothic" w:hAnsi="Century Gothic" w:cs="Arial"/>
              </w:rPr>
            </w:pPr>
            <w:r w:rsidRPr="00D61E32">
              <w:rPr>
                <w:rFonts w:ascii="Century Gothic" w:hAnsi="Century Gothic" w:cs="Arial"/>
                <w:u w:val="single"/>
              </w:rPr>
              <w:t>Sources:</w:t>
            </w:r>
            <w:r w:rsidRPr="00D61E32">
              <w:rPr>
                <w:rFonts w:ascii="Century Gothic" w:hAnsi="Century Gothic" w:cs="Arial"/>
              </w:rPr>
              <w:t xml:space="preserve"> Most current version of industry standard code sets, e.g., CPT, HCPCS, etc.; claims data (i.e., service/procedure codes)</w:t>
            </w:r>
          </w:p>
          <w:p w14:paraId="79A3A152" w14:textId="77777777" w:rsidR="002C4430" w:rsidRPr="00D61E32" w:rsidRDefault="002C4430">
            <w:pPr>
              <w:rPr>
                <w:rFonts w:ascii="Century Gothic" w:hAnsi="Century Gothic" w:cs="Arial"/>
                <w:b/>
              </w:rPr>
            </w:pPr>
            <w:r w:rsidRPr="00D61E32">
              <w:rPr>
                <w:rFonts w:ascii="Century Gothic" w:hAnsi="Century Gothic" w:cs="Arial"/>
                <w:b/>
              </w:rPr>
              <w:t>3. Geographic Location</w:t>
            </w:r>
          </w:p>
          <w:p w14:paraId="2249D320" w14:textId="12C5740E" w:rsidR="002C4430" w:rsidRPr="00D61E32" w:rsidRDefault="002C4430" w:rsidP="00D11971">
            <w:pPr>
              <w:ind w:left="346"/>
              <w:rPr>
                <w:rFonts w:ascii="Century Gothic" w:hAnsi="Century Gothic" w:cs="Arial"/>
                <w:bCs/>
              </w:rPr>
            </w:pPr>
            <w:r w:rsidRPr="00D61E32">
              <w:rPr>
                <w:rFonts w:ascii="Century Gothic" w:hAnsi="Century Gothic" w:cs="Arial"/>
                <w:bCs/>
                <w:u w:val="single"/>
              </w:rPr>
              <w:t>Source:</w:t>
            </w:r>
            <w:r w:rsidRPr="00D61E32">
              <w:rPr>
                <w:rFonts w:ascii="Century Gothic" w:hAnsi="Century Gothic" w:cs="Arial"/>
                <w:bCs/>
              </w:rPr>
              <w:t xml:space="preserve"> Zip Code of the provider or facility sending the claim</w:t>
            </w:r>
          </w:p>
          <w:p w14:paraId="67507395" w14:textId="33A71CC4" w:rsidR="002C4430" w:rsidRPr="00D11971" w:rsidRDefault="002C4430">
            <w:pPr>
              <w:rPr>
                <w:rFonts w:ascii="Century Gothic" w:hAnsi="Century Gothic" w:cs="Arial"/>
                <w:b/>
              </w:rPr>
            </w:pPr>
            <w:r w:rsidRPr="00D61E32">
              <w:rPr>
                <w:rFonts w:ascii="Century Gothic" w:hAnsi="Century Gothic" w:cs="Arial"/>
                <w:b/>
              </w:rPr>
              <w:t xml:space="preserve">4. Industry Benchmark Rates/Methodology </w:t>
            </w:r>
          </w:p>
          <w:p w14:paraId="146F156A" w14:textId="77777777" w:rsidR="002C4430" w:rsidRPr="00D61E32" w:rsidRDefault="002C4430">
            <w:pPr>
              <w:ind w:left="720"/>
              <w:rPr>
                <w:rFonts w:ascii="Century Gothic" w:hAnsi="Century Gothic" w:cs="Arial"/>
                <w:b/>
                <w:bCs/>
              </w:rPr>
            </w:pPr>
            <w:r w:rsidRPr="00D61E32">
              <w:rPr>
                <w:rFonts w:ascii="Century Gothic" w:hAnsi="Century Gothic" w:cs="Arial"/>
                <w:b/>
                <w:bCs/>
              </w:rPr>
              <w:t>Sources:</w:t>
            </w:r>
          </w:p>
          <w:p w14:paraId="6DEF163F" w14:textId="44830BB2" w:rsidR="002C4430" w:rsidRPr="00D11971" w:rsidRDefault="002C4430" w:rsidP="00D11971">
            <w:pPr>
              <w:pStyle w:val="ListParagraph"/>
              <w:widowControl w:val="0"/>
              <w:numPr>
                <w:ilvl w:val="0"/>
                <w:numId w:val="33"/>
              </w:numPr>
              <w:autoSpaceDE w:val="0"/>
              <w:autoSpaceDN w:val="0"/>
              <w:spacing w:after="0" w:line="240" w:lineRule="auto"/>
              <w:ind w:left="976" w:hanging="256"/>
              <w:rPr>
                <w:rFonts w:ascii="Century Gothic" w:hAnsi="Century Gothic" w:cs="Arial"/>
              </w:rPr>
            </w:pPr>
            <w:r w:rsidRPr="00D61E32">
              <w:rPr>
                <w:rFonts w:ascii="Century Gothic" w:hAnsi="Century Gothic" w:cs="Arial"/>
              </w:rPr>
              <w:t xml:space="preserve">Wellfleet uses Fair Health as our source for Reasonable and Customary (R&amp;C) Data.  Wellfleet downloads Fair Health data several times a year and uses that data to reimburse out of network services according to the specific plans out of network benefit level.  </w:t>
            </w:r>
          </w:p>
          <w:p w14:paraId="08356C3F" w14:textId="77777777" w:rsidR="002C4430" w:rsidRPr="00D61E32" w:rsidRDefault="002C4430">
            <w:pPr>
              <w:ind w:left="976"/>
              <w:rPr>
                <w:rFonts w:ascii="Century Gothic" w:hAnsi="Century Gothic" w:cs="Arial"/>
              </w:rPr>
            </w:pPr>
            <w:r w:rsidRPr="00D61E32">
              <w:rPr>
                <w:rFonts w:ascii="Century Gothic" w:hAnsi="Century Gothic" w:cs="Arial"/>
              </w:rPr>
              <w:t xml:space="preserve">Fair Health’s rich data repository and independence make it a valued resource for reliable, objective data. FH® Charge Benchmarks provide up-to-date, actionable data based on recent claims from 493 distinct geographic regions nationwide. Fair Health has been consulted by numerous federal officials including those from the White House, the Department of Health and Human Services, the Department of Labor, the Food and Drug Administration, the Centers for Disease Control and Prevention, the Department of Commerce, the Department of </w:t>
            </w:r>
            <w:proofErr w:type="gramStart"/>
            <w:r w:rsidRPr="00D61E32">
              <w:rPr>
                <w:rFonts w:ascii="Century Gothic" w:hAnsi="Century Gothic" w:cs="Arial"/>
              </w:rPr>
              <w:t>Agriculture</w:t>
            </w:r>
            <w:proofErr w:type="gramEnd"/>
            <w:r w:rsidRPr="00D61E32">
              <w:rPr>
                <w:rFonts w:ascii="Century Gothic" w:hAnsi="Century Gothic" w:cs="Arial"/>
              </w:rPr>
              <w:t xml:space="preserve"> and the Congressional Budget Office. Fair Health data has been used to address a broad range of issues including:</w:t>
            </w:r>
          </w:p>
          <w:p w14:paraId="04865C05" w14:textId="77777777" w:rsidR="002C4430" w:rsidRPr="00D61E32" w:rsidRDefault="002C4430" w:rsidP="002C4430">
            <w:pPr>
              <w:numPr>
                <w:ilvl w:val="0"/>
                <w:numId w:val="34"/>
              </w:numPr>
              <w:spacing w:after="0" w:line="240" w:lineRule="auto"/>
              <w:ind w:left="1440"/>
              <w:rPr>
                <w:rFonts w:ascii="Century Gothic" w:hAnsi="Century Gothic" w:cs="Arial"/>
              </w:rPr>
            </w:pPr>
            <w:r w:rsidRPr="00D61E32">
              <w:rPr>
                <w:rFonts w:ascii="Century Gothic" w:hAnsi="Century Gothic" w:cs="Arial"/>
              </w:rPr>
              <w:t>Bureau of Labor Statistics in developing its medical pricing indices.</w:t>
            </w:r>
          </w:p>
          <w:p w14:paraId="3184E8F6" w14:textId="77777777" w:rsidR="002C4430" w:rsidRPr="00D61E32" w:rsidRDefault="002C4430" w:rsidP="002C4430">
            <w:pPr>
              <w:numPr>
                <w:ilvl w:val="0"/>
                <w:numId w:val="34"/>
              </w:numPr>
              <w:spacing w:after="0" w:line="240" w:lineRule="auto"/>
              <w:ind w:left="1440"/>
              <w:rPr>
                <w:rFonts w:ascii="Century Gothic" w:hAnsi="Century Gothic" w:cs="Arial"/>
              </w:rPr>
            </w:pPr>
            <w:r w:rsidRPr="00D61E32">
              <w:rPr>
                <w:rFonts w:ascii="Century Gothic" w:hAnsi="Century Gothic" w:cs="Arial"/>
              </w:rPr>
              <w:t xml:space="preserve">Government Accountability Office to support studies of air ambulance and dental </w:t>
            </w:r>
            <w:proofErr w:type="gramStart"/>
            <w:r w:rsidRPr="00D61E32">
              <w:rPr>
                <w:rFonts w:ascii="Century Gothic" w:hAnsi="Century Gothic" w:cs="Arial"/>
              </w:rPr>
              <w:t>service</w:t>
            </w:r>
            <w:proofErr w:type="gramEnd"/>
          </w:p>
          <w:p w14:paraId="52E9E13C" w14:textId="77777777" w:rsidR="002C4430" w:rsidRPr="00D61E32" w:rsidRDefault="002C4430" w:rsidP="002C4430">
            <w:pPr>
              <w:numPr>
                <w:ilvl w:val="0"/>
                <w:numId w:val="34"/>
              </w:numPr>
              <w:spacing w:after="0" w:line="240" w:lineRule="auto"/>
              <w:ind w:left="1440"/>
              <w:rPr>
                <w:rFonts w:ascii="Century Gothic" w:hAnsi="Century Gothic" w:cs="Arial"/>
              </w:rPr>
            </w:pPr>
            <w:r w:rsidRPr="00D61E32">
              <w:rPr>
                <w:rFonts w:ascii="Century Gothic" w:hAnsi="Century Gothic" w:cs="Arial"/>
              </w:rPr>
              <w:t xml:space="preserve">Office of National Drug Control Policy under President Obama </w:t>
            </w:r>
          </w:p>
          <w:p w14:paraId="547D9A39" w14:textId="213839FF" w:rsidR="002C4430" w:rsidRPr="00D11971" w:rsidRDefault="002C4430" w:rsidP="00D11971">
            <w:pPr>
              <w:numPr>
                <w:ilvl w:val="0"/>
                <w:numId w:val="34"/>
              </w:numPr>
              <w:spacing w:after="0" w:line="240" w:lineRule="auto"/>
              <w:ind w:left="1440"/>
              <w:rPr>
                <w:rFonts w:ascii="Century Gothic" w:hAnsi="Century Gothic" w:cs="Arial"/>
              </w:rPr>
            </w:pPr>
            <w:r w:rsidRPr="00D61E32">
              <w:rPr>
                <w:rFonts w:ascii="Century Gothic" w:hAnsi="Century Gothic" w:cs="Arial"/>
              </w:rPr>
              <w:t>The President’s Commission on Combating Drug Addiction and the Opioid Crisis under President Trump</w:t>
            </w:r>
          </w:p>
          <w:p w14:paraId="14DE583E" w14:textId="0515A9D5" w:rsidR="002C4430" w:rsidRPr="00D61E32" w:rsidRDefault="002C4430" w:rsidP="00D11971">
            <w:pPr>
              <w:ind w:left="720"/>
              <w:rPr>
                <w:rFonts w:ascii="Century Gothic" w:hAnsi="Century Gothic" w:cs="Arial"/>
              </w:rPr>
            </w:pPr>
            <w:r w:rsidRPr="00D61E32">
              <w:rPr>
                <w:rFonts w:ascii="Century Gothic" w:eastAsia="Myriad Pro Light" w:hAnsi="Century Gothic" w:cs="Arial"/>
                <w:lang w:bidi="en-US"/>
              </w:rPr>
              <w:t>2.</w:t>
            </w:r>
            <w:r w:rsidRPr="00D61E32">
              <w:rPr>
                <w:rFonts w:ascii="Century Gothic" w:hAnsi="Century Gothic" w:cs="Arial"/>
              </w:rPr>
              <w:t xml:space="preserve"> Zelis’ ERS rates are based on Medicare rates, which are updated annually by CMS and published on the Federal government website.</w:t>
            </w:r>
          </w:p>
          <w:p w14:paraId="697116D7" w14:textId="77777777" w:rsidR="002C4430" w:rsidRPr="00D61E32" w:rsidRDefault="002C4430" w:rsidP="00D11971">
            <w:pPr>
              <w:ind w:left="720"/>
              <w:rPr>
                <w:rFonts w:ascii="Century Gothic" w:hAnsi="Century Gothic" w:cs="Arial"/>
                <w:b/>
                <w:bCs/>
              </w:rPr>
            </w:pPr>
            <w:r w:rsidRPr="00D61E32">
              <w:rPr>
                <w:rFonts w:ascii="Century Gothic" w:hAnsi="Century Gothic" w:cs="Arial"/>
                <w:b/>
                <w:bCs/>
              </w:rPr>
              <w:t>Evidentiary Standards:</w:t>
            </w:r>
          </w:p>
          <w:p w14:paraId="32861DE2" w14:textId="77777777" w:rsidR="002C4430" w:rsidRPr="00D61E32" w:rsidRDefault="002C4430" w:rsidP="00D11971">
            <w:pPr>
              <w:ind w:left="720"/>
              <w:rPr>
                <w:rFonts w:ascii="Century Gothic" w:hAnsi="Century Gothic" w:cs="Arial"/>
                <w:iCs/>
              </w:rPr>
            </w:pPr>
            <w:r w:rsidRPr="00D61E32">
              <w:rPr>
                <w:rFonts w:ascii="Century Gothic" w:hAnsi="Century Gothic" w:cs="Arial"/>
                <w:iCs/>
              </w:rPr>
              <w:t>Wellfleet uses Reasonable and Customary (R&amp;C) pricing data to price our out-of-network claims. We consider the total billed charges to all health plans for similar services/supplies by CPT/HCPCS coding within the same region as defined by Zip codes.</w:t>
            </w:r>
          </w:p>
          <w:p w14:paraId="7128E10A" w14:textId="2B20FAB7" w:rsidR="002C4430" w:rsidRPr="00D11971" w:rsidRDefault="002C4430" w:rsidP="00D11971">
            <w:pPr>
              <w:ind w:left="720"/>
              <w:rPr>
                <w:rFonts w:ascii="Century Gothic" w:hAnsi="Century Gothic" w:cs="Arial"/>
                <w:iCs/>
              </w:rPr>
            </w:pPr>
            <w:r w:rsidRPr="00D61E32">
              <w:rPr>
                <w:rFonts w:ascii="Century Gothic" w:hAnsi="Century Gothic" w:cs="Arial"/>
                <w:iCs/>
              </w:rPr>
              <w:t xml:space="preserve">Zelis uses a percentage of Medicare rates to price our out-of-network claims. Zelis takes each CPT/HCPCS code on the claim and multiplies it by a percentage of the Medicare rate for the same code within the same region as defined by Zip codes. </w:t>
            </w:r>
          </w:p>
        </w:tc>
        <w:tc>
          <w:tcPr>
            <w:tcW w:w="2524" w:type="pct"/>
            <w:tcBorders>
              <w:top w:val="single" w:sz="4" w:space="0" w:color="auto"/>
              <w:left w:val="single" w:sz="4" w:space="0" w:color="auto"/>
              <w:bottom w:val="single" w:sz="4" w:space="0" w:color="auto"/>
              <w:right w:val="single" w:sz="4" w:space="0" w:color="auto"/>
            </w:tcBorders>
          </w:tcPr>
          <w:p w14:paraId="79F70CB7" w14:textId="77777777" w:rsidR="002C4430" w:rsidRPr="00D61E32" w:rsidRDefault="002C4430" w:rsidP="002C4430">
            <w:pPr>
              <w:pStyle w:val="ListParagraph"/>
              <w:widowControl w:val="0"/>
              <w:numPr>
                <w:ilvl w:val="0"/>
                <w:numId w:val="35"/>
              </w:numPr>
              <w:autoSpaceDE w:val="0"/>
              <w:autoSpaceDN w:val="0"/>
              <w:spacing w:after="0" w:line="240" w:lineRule="auto"/>
              <w:ind w:left="344"/>
              <w:rPr>
                <w:rFonts w:ascii="Century Gothic" w:hAnsi="Century Gothic" w:cs="Arial"/>
                <w:b/>
              </w:rPr>
            </w:pPr>
            <w:r w:rsidRPr="00D61E32">
              <w:rPr>
                <w:rFonts w:ascii="Century Gothic" w:hAnsi="Century Gothic" w:cs="Arial"/>
                <w:b/>
              </w:rPr>
              <w:t xml:space="preserve">Provider Type </w:t>
            </w:r>
          </w:p>
          <w:p w14:paraId="15AFB37B" w14:textId="77777777" w:rsidR="002C4430" w:rsidRPr="00D61E32" w:rsidRDefault="002C4430">
            <w:pPr>
              <w:ind w:left="360"/>
              <w:rPr>
                <w:rFonts w:ascii="Century Gothic" w:hAnsi="Century Gothic" w:cs="Arial"/>
              </w:rPr>
            </w:pPr>
            <w:r w:rsidRPr="00D61E32">
              <w:rPr>
                <w:rFonts w:ascii="Century Gothic" w:hAnsi="Century Gothic" w:cs="Arial"/>
                <w:u w:val="single"/>
              </w:rPr>
              <w:t>Definition:</w:t>
            </w:r>
            <w:r w:rsidRPr="00D61E32">
              <w:rPr>
                <w:rFonts w:ascii="Century Gothic" w:hAnsi="Century Gothic" w:cs="Arial"/>
              </w:rPr>
              <w:t xml:space="preserve"> physician vs. non-physician, specialty</w:t>
            </w:r>
          </w:p>
          <w:p w14:paraId="108537D9" w14:textId="77777777" w:rsidR="002C4430" w:rsidRPr="00D61E32" w:rsidRDefault="002C4430">
            <w:pPr>
              <w:ind w:left="360"/>
              <w:rPr>
                <w:rFonts w:ascii="Century Gothic" w:hAnsi="Century Gothic" w:cs="Arial"/>
              </w:rPr>
            </w:pPr>
            <w:r w:rsidRPr="00D61E32">
              <w:rPr>
                <w:rFonts w:ascii="Century Gothic" w:hAnsi="Century Gothic" w:cs="Arial"/>
                <w:u w:val="single"/>
              </w:rPr>
              <w:t>Evidentiary Standards:</w:t>
            </w:r>
            <w:r w:rsidRPr="00D61E32">
              <w:rPr>
                <w:rFonts w:ascii="Century Gothic" w:hAnsi="Century Gothic" w:cs="Arial"/>
              </w:rPr>
              <w:t xml:space="preserve"> The provider type and/or specialty is assessed based upon the provider’s credentials, licensure, board certification, education, and </w:t>
            </w:r>
            <w:proofErr w:type="gramStart"/>
            <w:r w:rsidRPr="00D61E32">
              <w:rPr>
                <w:rFonts w:ascii="Century Gothic" w:hAnsi="Century Gothic" w:cs="Arial"/>
              </w:rPr>
              <w:t>training</w:t>
            </w:r>
            <w:proofErr w:type="gramEnd"/>
          </w:p>
          <w:p w14:paraId="61BC4237" w14:textId="77777777" w:rsidR="002C4430" w:rsidRPr="00D61E32" w:rsidRDefault="002C4430">
            <w:pPr>
              <w:ind w:left="360"/>
              <w:rPr>
                <w:rFonts w:ascii="Century Gothic" w:hAnsi="Century Gothic" w:cs="Arial"/>
              </w:rPr>
            </w:pPr>
            <w:r w:rsidRPr="00D61E32">
              <w:rPr>
                <w:rFonts w:ascii="Century Gothic" w:hAnsi="Century Gothic" w:cs="Arial"/>
                <w:u w:val="single"/>
              </w:rPr>
              <w:t>Sources:</w:t>
            </w:r>
            <w:r w:rsidRPr="00D61E32">
              <w:rPr>
                <w:rFonts w:ascii="Century Gothic" w:hAnsi="Century Gothic" w:cs="Arial"/>
              </w:rPr>
              <w:t xml:space="preserve"> Provider credentialing application and/or claims data (i.e., taxonomy, provider specialty and type codes)</w:t>
            </w:r>
          </w:p>
          <w:p w14:paraId="10277925" w14:textId="77777777" w:rsidR="002C4430" w:rsidRPr="00D61E32" w:rsidRDefault="002C4430" w:rsidP="002C4430">
            <w:pPr>
              <w:pStyle w:val="ListParagraph"/>
              <w:widowControl w:val="0"/>
              <w:numPr>
                <w:ilvl w:val="0"/>
                <w:numId w:val="35"/>
              </w:numPr>
              <w:autoSpaceDE w:val="0"/>
              <w:autoSpaceDN w:val="0"/>
              <w:spacing w:after="0" w:line="240" w:lineRule="auto"/>
              <w:ind w:left="344"/>
              <w:rPr>
                <w:rFonts w:ascii="Century Gothic" w:hAnsi="Century Gothic" w:cs="Arial"/>
                <w:b/>
              </w:rPr>
            </w:pPr>
            <w:r w:rsidRPr="00D61E32">
              <w:rPr>
                <w:rFonts w:ascii="Century Gothic" w:hAnsi="Century Gothic" w:cs="Arial"/>
                <w:b/>
              </w:rPr>
              <w:t>Services and/or Procedures Provided</w:t>
            </w:r>
          </w:p>
          <w:p w14:paraId="555F4C7E" w14:textId="77777777" w:rsidR="002C4430" w:rsidRPr="00D61E32" w:rsidRDefault="002C4430">
            <w:pPr>
              <w:ind w:left="360"/>
              <w:rPr>
                <w:rFonts w:ascii="Century Gothic" w:hAnsi="Century Gothic" w:cs="Arial"/>
              </w:rPr>
            </w:pPr>
            <w:r w:rsidRPr="00D61E32">
              <w:rPr>
                <w:rFonts w:ascii="Century Gothic" w:hAnsi="Century Gothic" w:cs="Arial"/>
                <w:u w:val="single"/>
              </w:rPr>
              <w:t>Definition:</w:t>
            </w:r>
            <w:r w:rsidRPr="00D61E32">
              <w:rPr>
                <w:rFonts w:ascii="Century Gothic" w:hAnsi="Century Gothic" w:cs="Arial"/>
              </w:rPr>
              <w:t xml:space="preserve"> services and/or procedures provided</w:t>
            </w:r>
          </w:p>
          <w:p w14:paraId="440665A0" w14:textId="77777777" w:rsidR="002C4430" w:rsidRPr="00D61E32" w:rsidRDefault="002C4430">
            <w:pPr>
              <w:ind w:left="360"/>
              <w:rPr>
                <w:rFonts w:ascii="Century Gothic" w:hAnsi="Century Gothic" w:cs="Arial"/>
              </w:rPr>
            </w:pPr>
            <w:r w:rsidRPr="00D61E32">
              <w:rPr>
                <w:rFonts w:ascii="Century Gothic" w:hAnsi="Century Gothic" w:cs="Arial"/>
                <w:u w:val="single"/>
              </w:rPr>
              <w:t>Evidentiary Standards:</w:t>
            </w:r>
            <w:r w:rsidRPr="00D61E32">
              <w:rPr>
                <w:rFonts w:ascii="Century Gothic" w:hAnsi="Century Gothic" w:cs="Arial"/>
              </w:rPr>
              <w:t xml:space="preserve"> Most current version of industry standard code sets, e.g., CPT, HCPCS, etc.</w:t>
            </w:r>
          </w:p>
          <w:p w14:paraId="6A1099B2" w14:textId="3E104F78" w:rsidR="002C4430" w:rsidRPr="00D61E32" w:rsidRDefault="002C4430" w:rsidP="00D11971">
            <w:pPr>
              <w:ind w:left="360"/>
              <w:rPr>
                <w:rFonts w:ascii="Century Gothic" w:hAnsi="Century Gothic" w:cs="Arial"/>
              </w:rPr>
            </w:pPr>
            <w:r w:rsidRPr="00D61E32">
              <w:rPr>
                <w:rFonts w:ascii="Century Gothic" w:hAnsi="Century Gothic" w:cs="Arial"/>
                <w:u w:val="single"/>
              </w:rPr>
              <w:t>Sources:</w:t>
            </w:r>
            <w:r w:rsidRPr="00D61E32">
              <w:rPr>
                <w:rFonts w:ascii="Century Gothic" w:hAnsi="Century Gothic" w:cs="Arial"/>
              </w:rPr>
              <w:t xml:space="preserve"> Most current version of industry standard code sets, e.g., CPT, HCPCS, etc.; claims data (i.e., service/procedure codes)</w:t>
            </w:r>
          </w:p>
          <w:p w14:paraId="19E52F96" w14:textId="77777777" w:rsidR="002C4430" w:rsidRPr="00D61E32" w:rsidRDefault="002C4430">
            <w:pPr>
              <w:rPr>
                <w:rFonts w:ascii="Century Gothic" w:hAnsi="Century Gothic" w:cs="Arial"/>
                <w:b/>
              </w:rPr>
            </w:pPr>
            <w:r w:rsidRPr="00D61E32">
              <w:rPr>
                <w:rFonts w:ascii="Century Gothic" w:hAnsi="Century Gothic" w:cs="Arial"/>
                <w:b/>
              </w:rPr>
              <w:t>3. Geographic Location</w:t>
            </w:r>
          </w:p>
          <w:p w14:paraId="4BFB3CDB" w14:textId="3C01FF2C" w:rsidR="002C4430" w:rsidRPr="00D61E32" w:rsidRDefault="002C4430" w:rsidP="00D11971">
            <w:pPr>
              <w:ind w:left="346"/>
              <w:rPr>
                <w:rFonts w:ascii="Century Gothic" w:hAnsi="Century Gothic" w:cs="Arial"/>
                <w:bCs/>
              </w:rPr>
            </w:pPr>
            <w:r w:rsidRPr="00D61E32">
              <w:rPr>
                <w:rFonts w:ascii="Century Gothic" w:hAnsi="Century Gothic" w:cs="Arial"/>
                <w:bCs/>
                <w:u w:val="single"/>
              </w:rPr>
              <w:t>Source:</w:t>
            </w:r>
            <w:r w:rsidRPr="00D61E32">
              <w:rPr>
                <w:rFonts w:ascii="Century Gothic" w:hAnsi="Century Gothic" w:cs="Arial"/>
                <w:bCs/>
              </w:rPr>
              <w:t xml:space="preserve"> Zip Code of the provider or facility sending the claim</w:t>
            </w:r>
          </w:p>
          <w:p w14:paraId="2B7220E8" w14:textId="2D07669E" w:rsidR="002C4430" w:rsidRPr="00D11971" w:rsidRDefault="002C4430">
            <w:pPr>
              <w:rPr>
                <w:rFonts w:ascii="Century Gothic" w:hAnsi="Century Gothic" w:cs="Arial"/>
                <w:b/>
              </w:rPr>
            </w:pPr>
            <w:r w:rsidRPr="00D61E32">
              <w:rPr>
                <w:rFonts w:ascii="Century Gothic" w:hAnsi="Century Gothic" w:cs="Arial"/>
                <w:b/>
              </w:rPr>
              <w:t xml:space="preserve">4. Industry Benchmark Rates/Methodology </w:t>
            </w:r>
          </w:p>
          <w:p w14:paraId="5465325B" w14:textId="77777777" w:rsidR="002C4430" w:rsidRPr="00D61E32" w:rsidRDefault="002C4430">
            <w:pPr>
              <w:ind w:left="720"/>
              <w:rPr>
                <w:rFonts w:ascii="Century Gothic" w:hAnsi="Century Gothic" w:cs="Arial"/>
                <w:b/>
                <w:bCs/>
              </w:rPr>
            </w:pPr>
            <w:r w:rsidRPr="00D61E32">
              <w:rPr>
                <w:rFonts w:ascii="Century Gothic" w:hAnsi="Century Gothic" w:cs="Arial"/>
                <w:b/>
                <w:bCs/>
              </w:rPr>
              <w:t>Sources:</w:t>
            </w:r>
          </w:p>
          <w:p w14:paraId="4949BFA0" w14:textId="77777777" w:rsidR="002C4430" w:rsidRPr="00D61E32" w:rsidRDefault="002C4430">
            <w:pPr>
              <w:pStyle w:val="ListParagraph"/>
              <w:ind w:left="974"/>
              <w:rPr>
                <w:rFonts w:ascii="Century Gothic" w:hAnsi="Century Gothic" w:cs="Arial"/>
              </w:rPr>
            </w:pPr>
            <w:r w:rsidRPr="00D61E32">
              <w:rPr>
                <w:rFonts w:ascii="Century Gothic" w:hAnsi="Century Gothic" w:cs="Arial"/>
              </w:rPr>
              <w:t xml:space="preserve">Wellfleet uses Fair Health as our source for Reasonable and Customary (R&amp;C) Data.  Wellfleet downloads Fair Health data several times a year and uses that data to reimburse out of network services according to the specific plans out of network benefit level.  </w:t>
            </w:r>
          </w:p>
          <w:p w14:paraId="6B3EE560" w14:textId="77777777" w:rsidR="002C4430" w:rsidRPr="00D61E32" w:rsidRDefault="002C4430">
            <w:pPr>
              <w:ind w:left="976"/>
              <w:rPr>
                <w:rFonts w:ascii="Century Gothic" w:hAnsi="Century Gothic" w:cs="Arial"/>
              </w:rPr>
            </w:pPr>
            <w:r w:rsidRPr="00D61E32">
              <w:rPr>
                <w:rFonts w:ascii="Century Gothic" w:hAnsi="Century Gothic" w:cs="Arial"/>
              </w:rPr>
              <w:t xml:space="preserve">Fair Health’s rich data repository and independence make it a valued resource for reliable, objective data. FH® Charge Benchmarks provide up-to-date, actionable data based on recent claims from 493 distinct geographic regions nationwide. Fair Health has been consulted by numerous federal officials including those from the White House, the Department of Health and Human Services, the Department of Labor, the Food and Drug Administration, the Centers for Disease Control and Prevention, the Department of Commerce, the Department of </w:t>
            </w:r>
            <w:proofErr w:type="gramStart"/>
            <w:r w:rsidRPr="00D61E32">
              <w:rPr>
                <w:rFonts w:ascii="Century Gothic" w:hAnsi="Century Gothic" w:cs="Arial"/>
              </w:rPr>
              <w:t>Agriculture</w:t>
            </w:r>
            <w:proofErr w:type="gramEnd"/>
            <w:r w:rsidRPr="00D61E32">
              <w:rPr>
                <w:rFonts w:ascii="Century Gothic" w:hAnsi="Century Gothic" w:cs="Arial"/>
              </w:rPr>
              <w:t xml:space="preserve"> and the Congressional Budget Office. Fair Health data has been used to address a broad range of issues including:</w:t>
            </w:r>
          </w:p>
          <w:p w14:paraId="66F29101" w14:textId="77777777" w:rsidR="002C4430" w:rsidRPr="00D61E32" w:rsidRDefault="002C4430" w:rsidP="002C4430">
            <w:pPr>
              <w:numPr>
                <w:ilvl w:val="0"/>
                <w:numId w:val="34"/>
              </w:numPr>
              <w:spacing w:after="0" w:line="240" w:lineRule="auto"/>
              <w:ind w:left="1440"/>
              <w:rPr>
                <w:rFonts w:ascii="Century Gothic" w:hAnsi="Century Gothic" w:cs="Arial"/>
              </w:rPr>
            </w:pPr>
            <w:r w:rsidRPr="00D61E32">
              <w:rPr>
                <w:rFonts w:ascii="Century Gothic" w:hAnsi="Century Gothic" w:cs="Arial"/>
              </w:rPr>
              <w:t>Bureau of Labor Statistics in developing its medical pricing indices.</w:t>
            </w:r>
          </w:p>
          <w:p w14:paraId="02B1BA65" w14:textId="77777777" w:rsidR="002C4430" w:rsidRPr="00D61E32" w:rsidRDefault="002C4430" w:rsidP="002C4430">
            <w:pPr>
              <w:numPr>
                <w:ilvl w:val="0"/>
                <w:numId w:val="34"/>
              </w:numPr>
              <w:spacing w:after="0" w:line="240" w:lineRule="auto"/>
              <w:ind w:left="1440"/>
              <w:rPr>
                <w:rFonts w:ascii="Century Gothic" w:hAnsi="Century Gothic" w:cs="Arial"/>
              </w:rPr>
            </w:pPr>
            <w:r w:rsidRPr="00D61E32">
              <w:rPr>
                <w:rFonts w:ascii="Century Gothic" w:hAnsi="Century Gothic" w:cs="Arial"/>
              </w:rPr>
              <w:t xml:space="preserve">Government Accountability Office to support studies of air ambulance and dental </w:t>
            </w:r>
            <w:proofErr w:type="gramStart"/>
            <w:r w:rsidRPr="00D61E32">
              <w:rPr>
                <w:rFonts w:ascii="Century Gothic" w:hAnsi="Century Gothic" w:cs="Arial"/>
              </w:rPr>
              <w:t>service</w:t>
            </w:r>
            <w:proofErr w:type="gramEnd"/>
          </w:p>
          <w:p w14:paraId="77485ECC" w14:textId="77777777" w:rsidR="002C4430" w:rsidRPr="00D61E32" w:rsidRDefault="002C4430" w:rsidP="002C4430">
            <w:pPr>
              <w:numPr>
                <w:ilvl w:val="0"/>
                <w:numId w:val="34"/>
              </w:numPr>
              <w:spacing w:after="0" w:line="240" w:lineRule="auto"/>
              <w:ind w:left="1440"/>
              <w:rPr>
                <w:rFonts w:ascii="Century Gothic" w:hAnsi="Century Gothic" w:cs="Arial"/>
              </w:rPr>
            </w:pPr>
            <w:r w:rsidRPr="00D61E32">
              <w:rPr>
                <w:rFonts w:ascii="Century Gothic" w:hAnsi="Century Gothic" w:cs="Arial"/>
              </w:rPr>
              <w:t xml:space="preserve">Office of National Drug Control Policy under President Obama </w:t>
            </w:r>
          </w:p>
          <w:p w14:paraId="2E69BB76" w14:textId="77777777" w:rsidR="002C4430" w:rsidRPr="00D61E32" w:rsidRDefault="002C4430" w:rsidP="002C4430">
            <w:pPr>
              <w:numPr>
                <w:ilvl w:val="0"/>
                <w:numId w:val="34"/>
              </w:numPr>
              <w:spacing w:after="0" w:line="240" w:lineRule="auto"/>
              <w:ind w:left="1440"/>
              <w:rPr>
                <w:rFonts w:ascii="Century Gothic" w:hAnsi="Century Gothic" w:cs="Arial"/>
              </w:rPr>
            </w:pPr>
            <w:r w:rsidRPr="00D61E32">
              <w:rPr>
                <w:rFonts w:ascii="Century Gothic" w:hAnsi="Century Gothic" w:cs="Arial"/>
              </w:rPr>
              <w:t>The President’s Commission on Combating Drug Addiction and the Opioid Crisis under President Trump</w:t>
            </w:r>
          </w:p>
          <w:p w14:paraId="2949784F" w14:textId="77777777" w:rsidR="002C4430" w:rsidRPr="00D61E32" w:rsidRDefault="002C4430">
            <w:pPr>
              <w:rPr>
                <w:rFonts w:ascii="Century Gothic" w:hAnsi="Century Gothic" w:cs="Arial"/>
              </w:rPr>
            </w:pPr>
          </w:p>
          <w:p w14:paraId="4AB37BC2" w14:textId="77777777" w:rsidR="002C4430" w:rsidRPr="00D61E32" w:rsidRDefault="002C4430" w:rsidP="00D11971">
            <w:pPr>
              <w:rPr>
                <w:rFonts w:ascii="Century Gothic" w:hAnsi="Century Gothic" w:cs="Arial"/>
                <w:b/>
                <w:bCs/>
              </w:rPr>
            </w:pPr>
          </w:p>
          <w:p w14:paraId="629FAE6C" w14:textId="77777777" w:rsidR="002C4430" w:rsidRPr="00D61E32" w:rsidRDefault="002C4430">
            <w:pPr>
              <w:ind w:left="720"/>
              <w:rPr>
                <w:rFonts w:ascii="Century Gothic" w:hAnsi="Century Gothic" w:cs="Arial"/>
                <w:b/>
                <w:bCs/>
              </w:rPr>
            </w:pPr>
          </w:p>
          <w:p w14:paraId="22F3431F" w14:textId="77777777" w:rsidR="002C4430" w:rsidRPr="00D61E32" w:rsidRDefault="002C4430">
            <w:pPr>
              <w:ind w:left="720"/>
              <w:rPr>
                <w:rFonts w:ascii="Century Gothic" w:hAnsi="Century Gothic" w:cs="Arial"/>
                <w:b/>
                <w:bCs/>
              </w:rPr>
            </w:pPr>
          </w:p>
          <w:p w14:paraId="6962C697" w14:textId="77777777" w:rsidR="002C4430" w:rsidRPr="00D61E32" w:rsidRDefault="002C4430">
            <w:pPr>
              <w:ind w:left="720"/>
              <w:rPr>
                <w:rFonts w:ascii="Century Gothic" w:hAnsi="Century Gothic" w:cs="Arial"/>
                <w:b/>
                <w:bCs/>
              </w:rPr>
            </w:pPr>
            <w:r w:rsidRPr="00D61E32">
              <w:rPr>
                <w:rFonts w:ascii="Century Gothic" w:hAnsi="Century Gothic" w:cs="Arial"/>
                <w:b/>
                <w:bCs/>
              </w:rPr>
              <w:t>Evidentiary Standards:</w:t>
            </w:r>
          </w:p>
          <w:p w14:paraId="0D696FE4" w14:textId="77777777" w:rsidR="002C4430" w:rsidRPr="00D61E32" w:rsidRDefault="002C4430">
            <w:pPr>
              <w:ind w:left="720"/>
              <w:rPr>
                <w:rFonts w:ascii="Century Gothic" w:hAnsi="Century Gothic" w:cs="Arial"/>
                <w:iCs/>
              </w:rPr>
            </w:pPr>
            <w:r w:rsidRPr="00D61E32">
              <w:rPr>
                <w:rFonts w:ascii="Century Gothic" w:hAnsi="Century Gothic" w:cs="Arial"/>
                <w:iCs/>
              </w:rPr>
              <w:t>Wellfleet uses Reasonable and Customary (R&amp;C) pricing data to price our out-of-network claims. We consider the total billed charges to all health plans for similar services/supplies by CPT/HCPCS coding within the same region as defined by Zip codes.</w:t>
            </w:r>
          </w:p>
          <w:p w14:paraId="20F639EC" w14:textId="77777777" w:rsidR="002C4430" w:rsidRPr="00D61E32" w:rsidRDefault="002C4430">
            <w:pPr>
              <w:ind w:left="720"/>
              <w:rPr>
                <w:rFonts w:ascii="Century Gothic" w:hAnsi="Century Gothic" w:cs="Arial"/>
                <w:iCs/>
              </w:rPr>
            </w:pPr>
          </w:p>
          <w:p w14:paraId="2118E023" w14:textId="77777777" w:rsidR="002C4430" w:rsidRPr="00D61E32" w:rsidRDefault="002C4430">
            <w:pPr>
              <w:rPr>
                <w:rFonts w:ascii="Century Gothic" w:hAnsi="Century Gothic" w:cs="Arial"/>
              </w:rPr>
            </w:pPr>
          </w:p>
        </w:tc>
      </w:tr>
      <w:tr w:rsidR="002C4430" w:rsidRPr="00D61E32" w14:paraId="6463F8F6" w14:textId="77777777" w:rsidTr="002C4430">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32972" w14:textId="77777777" w:rsidR="002C4430" w:rsidRPr="00D61E32" w:rsidRDefault="002C4430">
            <w:pPr>
              <w:rPr>
                <w:rFonts w:ascii="Century Gothic" w:hAnsi="Century Gothic" w:cs="Arial"/>
                <w:bCs/>
              </w:rPr>
            </w:pPr>
            <w:r w:rsidRPr="00D61E32">
              <w:rPr>
                <w:rFonts w:ascii="Century Gothic" w:hAnsi="Century Gothic"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3229B0D0" w14:textId="77777777" w:rsidR="002C4430" w:rsidRPr="00D61E32" w:rsidRDefault="002C4430" w:rsidP="002C4430">
            <w:pPr>
              <w:numPr>
                <w:ilvl w:val="0"/>
                <w:numId w:val="20"/>
              </w:numPr>
              <w:spacing w:after="0" w:line="240" w:lineRule="auto"/>
              <w:rPr>
                <w:rFonts w:ascii="Century Gothic" w:hAnsi="Century Gothic" w:cs="Arial"/>
                <w:bCs/>
                <w:i/>
              </w:rPr>
            </w:pPr>
            <w:r w:rsidRPr="00D61E32">
              <w:rPr>
                <w:rFonts w:ascii="Century Gothic" w:hAnsi="Century Gothic" w:cs="Arial"/>
                <w:bCs/>
                <w:i/>
              </w:rPr>
              <w:t>The analyses, as documented, should explain whether there is any variation in the application of a guideline or standard used by the plan or issuer between MH/SUD and medical/surgical benefits and, if so, describe the process and factors used for establishing that variation.</w:t>
            </w:r>
          </w:p>
          <w:p w14:paraId="0470F076" w14:textId="77777777" w:rsidR="002C4430" w:rsidRPr="00D61E32" w:rsidRDefault="002C4430" w:rsidP="002C4430">
            <w:pPr>
              <w:numPr>
                <w:ilvl w:val="0"/>
                <w:numId w:val="20"/>
              </w:numPr>
              <w:spacing w:after="0" w:line="240" w:lineRule="auto"/>
              <w:rPr>
                <w:rFonts w:ascii="Century Gothic" w:hAnsi="Century Gothic" w:cs="Arial"/>
                <w:bCs/>
                <w:i/>
              </w:rPr>
            </w:pPr>
            <w:r w:rsidRPr="00D61E32">
              <w:rPr>
                <w:rFonts w:ascii="Century Gothic" w:hAnsi="Century Gothic" w:cs="Arial"/>
                <w:bCs/>
                <w:i/>
              </w:rPr>
              <w:t>If the application of the NQTL turns on specific decisions in administration of the benefits, the plan or issuer should identify the nature of the decisions, the decision maker(s), the timing of the decisions, and the qualifications of the decision maker(s).</w:t>
            </w:r>
          </w:p>
          <w:p w14:paraId="7BC58A9F" w14:textId="77777777" w:rsidR="002C4430" w:rsidRPr="00D61E32" w:rsidRDefault="002C4430" w:rsidP="002C4430">
            <w:pPr>
              <w:numPr>
                <w:ilvl w:val="0"/>
                <w:numId w:val="20"/>
              </w:numPr>
              <w:spacing w:after="0" w:line="240" w:lineRule="auto"/>
              <w:rPr>
                <w:rFonts w:ascii="Century Gothic" w:hAnsi="Century Gothic" w:cs="Arial"/>
                <w:bCs/>
                <w:i/>
              </w:rPr>
            </w:pPr>
            <w:r w:rsidRPr="00D61E32">
              <w:rPr>
                <w:rFonts w:ascii="Century Gothic" w:hAnsi="Century Gothic" w:cs="Arial"/>
                <w:bCs/>
                <w:i/>
              </w:rPr>
              <w:t xml:space="preserve">If the </w:t>
            </w:r>
            <w:proofErr w:type="gramStart"/>
            <w:r w:rsidRPr="00D61E32">
              <w:rPr>
                <w:rFonts w:ascii="Century Gothic" w:hAnsi="Century Gothic" w:cs="Arial"/>
                <w:bCs/>
                <w:i/>
              </w:rPr>
              <w:t>plan’s</w:t>
            </w:r>
            <w:proofErr w:type="gramEnd"/>
            <w:r w:rsidRPr="00D61E32">
              <w:rPr>
                <w:rFonts w:ascii="Century Gothic" w:hAnsi="Century Gothic" w:cs="Arial"/>
                <w:bCs/>
                <w:i/>
              </w:rPr>
              <w:t xml:space="preserve">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p>
        </w:tc>
      </w:tr>
      <w:tr w:rsidR="002C4430" w:rsidRPr="00D61E32" w14:paraId="3CB47550" w14:textId="77777777" w:rsidTr="002C4430">
        <w:trPr>
          <w:trHeight w:val="70"/>
        </w:trPr>
        <w:tc>
          <w:tcPr>
            <w:tcW w:w="247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34724F" w14:textId="0A8F5C9C" w:rsidR="002C4430" w:rsidRPr="00D61E32" w:rsidRDefault="002C4430">
            <w:pPr>
              <w:rPr>
                <w:rFonts w:ascii="Century Gothic" w:hAnsi="Century Gothic" w:cs="Arial"/>
              </w:rPr>
            </w:pPr>
            <w:r w:rsidRPr="00D61E32">
              <w:rPr>
                <w:rFonts w:ascii="Century Gothic" w:hAnsi="Century Gothic" w:cs="Arial"/>
                <w:b/>
              </w:rPr>
              <w:t>Medical/Surgical</w:t>
            </w:r>
            <w:r w:rsidRPr="00D61E32">
              <w:rPr>
                <w:rFonts w:ascii="Century Gothic" w:hAnsi="Century Gothic" w:cs="Arial"/>
              </w:rPr>
              <w:t>:</w:t>
            </w:r>
          </w:p>
        </w:tc>
        <w:tc>
          <w:tcPr>
            <w:tcW w:w="252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11F36D" w14:textId="77777777" w:rsidR="002C4430" w:rsidRPr="00D61E32" w:rsidRDefault="002C4430">
            <w:pPr>
              <w:rPr>
                <w:rFonts w:ascii="Century Gothic" w:hAnsi="Century Gothic" w:cs="Arial"/>
              </w:rPr>
            </w:pPr>
            <w:r w:rsidRPr="00D61E32">
              <w:rPr>
                <w:rFonts w:ascii="Century Gothic" w:hAnsi="Century Gothic" w:cs="Arial"/>
                <w:b/>
              </w:rPr>
              <w:t>MH/SUD</w:t>
            </w:r>
            <w:r w:rsidRPr="00D61E32">
              <w:rPr>
                <w:rFonts w:ascii="Century Gothic" w:hAnsi="Century Gothic" w:cs="Arial"/>
              </w:rPr>
              <w:t>:</w:t>
            </w:r>
          </w:p>
        </w:tc>
      </w:tr>
      <w:tr w:rsidR="002C4430" w:rsidRPr="00D61E32" w14:paraId="45E0F154" w14:textId="77777777" w:rsidTr="002C4430">
        <w:trPr>
          <w:trHeight w:val="70"/>
        </w:trPr>
        <w:tc>
          <w:tcPr>
            <w:tcW w:w="2476" w:type="pct"/>
            <w:tcBorders>
              <w:top w:val="single" w:sz="4" w:space="0" w:color="auto"/>
              <w:left w:val="single" w:sz="4" w:space="0" w:color="auto"/>
              <w:bottom w:val="single" w:sz="4" w:space="0" w:color="auto"/>
              <w:right w:val="single" w:sz="4" w:space="0" w:color="auto"/>
            </w:tcBorders>
          </w:tcPr>
          <w:p w14:paraId="72055A4C" w14:textId="77777777" w:rsidR="002C4430" w:rsidRPr="00D61E32" w:rsidRDefault="002C4430">
            <w:pPr>
              <w:rPr>
                <w:rFonts w:ascii="Century Gothic" w:hAnsi="Century Gothic" w:cs="Arial"/>
                <w:b/>
                <w:bCs/>
              </w:rPr>
            </w:pPr>
            <w:r w:rsidRPr="00D61E32">
              <w:rPr>
                <w:rFonts w:ascii="Century Gothic" w:hAnsi="Century Gothic" w:cs="Arial"/>
                <w:b/>
                <w:bCs/>
              </w:rPr>
              <w:t xml:space="preserve">Determining OON Rates: </w:t>
            </w:r>
          </w:p>
          <w:p w14:paraId="52660673" w14:textId="77777777" w:rsidR="002C4430" w:rsidRPr="00D61E32" w:rsidRDefault="002C4430" w:rsidP="002C4430">
            <w:pPr>
              <w:pStyle w:val="ListParagraph"/>
              <w:widowControl w:val="0"/>
              <w:numPr>
                <w:ilvl w:val="0"/>
                <w:numId w:val="36"/>
              </w:numPr>
              <w:autoSpaceDE w:val="0"/>
              <w:autoSpaceDN w:val="0"/>
              <w:spacing w:after="0" w:line="240" w:lineRule="auto"/>
              <w:rPr>
                <w:rFonts w:ascii="Century Gothic" w:hAnsi="Century Gothic" w:cs="Arial"/>
              </w:rPr>
            </w:pPr>
            <w:r w:rsidRPr="00D61E32">
              <w:rPr>
                <w:rFonts w:ascii="Century Gothic" w:hAnsi="Century Gothic" w:cs="Arial"/>
              </w:rPr>
              <w:t xml:space="preserve">Wellfleet applies Reasonable and Customary (R&amp;C) reimbursement rates to all OON outpatient and OON emergency M/S </w:t>
            </w:r>
            <w:proofErr w:type="gramStart"/>
            <w:r w:rsidRPr="00D61E32">
              <w:rPr>
                <w:rFonts w:ascii="Century Gothic" w:hAnsi="Century Gothic" w:cs="Arial"/>
              </w:rPr>
              <w:t>benefits</w:t>
            </w:r>
            <w:proofErr w:type="gramEnd"/>
          </w:p>
          <w:p w14:paraId="2F1258E6" w14:textId="77777777" w:rsidR="002C4430" w:rsidRPr="00D61E32" w:rsidRDefault="002C4430" w:rsidP="002C4430">
            <w:pPr>
              <w:pStyle w:val="ListParagraph"/>
              <w:widowControl w:val="0"/>
              <w:numPr>
                <w:ilvl w:val="0"/>
                <w:numId w:val="36"/>
              </w:numPr>
              <w:autoSpaceDE w:val="0"/>
              <w:autoSpaceDN w:val="0"/>
              <w:spacing w:after="0" w:line="240" w:lineRule="auto"/>
              <w:rPr>
                <w:rFonts w:ascii="Century Gothic" w:hAnsi="Century Gothic" w:cs="Arial"/>
              </w:rPr>
            </w:pPr>
            <w:r w:rsidRPr="00D61E32">
              <w:rPr>
                <w:rFonts w:ascii="Century Gothic" w:hAnsi="Century Gothic" w:cs="Arial"/>
              </w:rPr>
              <w:t xml:space="preserve">After applying R&amp;C, OON outpatient and OON emergency, as well as all original OON inpatient M/S benefit claims are sent to </w:t>
            </w:r>
            <w:proofErr w:type="gramStart"/>
            <w:r w:rsidRPr="00D61E32">
              <w:rPr>
                <w:rFonts w:ascii="Century Gothic" w:hAnsi="Century Gothic" w:cs="Arial"/>
              </w:rPr>
              <w:t>Zelis</w:t>
            </w:r>
            <w:proofErr w:type="gramEnd"/>
            <w:r w:rsidRPr="00D61E32">
              <w:rPr>
                <w:rFonts w:ascii="Century Gothic" w:hAnsi="Century Gothic" w:cs="Arial"/>
              </w:rPr>
              <w:t xml:space="preserve"> </w:t>
            </w:r>
          </w:p>
          <w:p w14:paraId="6DE93157" w14:textId="77777777" w:rsidR="002C4430" w:rsidRPr="00D61E32" w:rsidRDefault="002C4430" w:rsidP="002C4430">
            <w:pPr>
              <w:pStyle w:val="ListParagraph"/>
              <w:widowControl w:val="0"/>
              <w:numPr>
                <w:ilvl w:val="1"/>
                <w:numId w:val="36"/>
              </w:numPr>
              <w:autoSpaceDE w:val="0"/>
              <w:autoSpaceDN w:val="0"/>
              <w:spacing w:after="0" w:line="240" w:lineRule="auto"/>
              <w:rPr>
                <w:rFonts w:ascii="Century Gothic" w:hAnsi="Century Gothic" w:cs="Arial"/>
              </w:rPr>
            </w:pPr>
            <w:r w:rsidRPr="00D61E32">
              <w:rPr>
                <w:rFonts w:ascii="Century Gothic" w:hAnsi="Century Gothic" w:cs="Arial"/>
              </w:rPr>
              <w:t xml:space="preserve">Zelis applies ERS rates to all OON inpatient, OON outpatient (except ambulance), and OON emergency M/S benefits. </w:t>
            </w:r>
          </w:p>
          <w:p w14:paraId="2616C2E1" w14:textId="77777777" w:rsidR="002C4430" w:rsidRPr="00D61E32" w:rsidRDefault="002C4430" w:rsidP="002C4430">
            <w:pPr>
              <w:pStyle w:val="ListParagraph"/>
              <w:widowControl w:val="0"/>
              <w:numPr>
                <w:ilvl w:val="1"/>
                <w:numId w:val="36"/>
              </w:numPr>
              <w:autoSpaceDE w:val="0"/>
              <w:autoSpaceDN w:val="0"/>
              <w:spacing w:after="0" w:line="240" w:lineRule="auto"/>
              <w:rPr>
                <w:rFonts w:ascii="Century Gothic" w:hAnsi="Century Gothic" w:cs="Arial"/>
              </w:rPr>
            </w:pPr>
            <w:r w:rsidRPr="00D61E32">
              <w:rPr>
                <w:rFonts w:ascii="Century Gothic" w:hAnsi="Century Gothic" w:cs="Arial"/>
              </w:rPr>
              <w:t xml:space="preserve">Zelis applies their Network rates to any applicable OON inpatient, OON outpatient, and OON emergency M/S benefits for comparison to the ERS rates. </w:t>
            </w:r>
          </w:p>
          <w:p w14:paraId="2E093999" w14:textId="4EDDAAC0" w:rsidR="002C4430" w:rsidRPr="00D11971" w:rsidRDefault="002C4430" w:rsidP="00D11971">
            <w:pPr>
              <w:pStyle w:val="ListParagraph"/>
              <w:widowControl w:val="0"/>
              <w:numPr>
                <w:ilvl w:val="0"/>
                <w:numId w:val="36"/>
              </w:numPr>
              <w:autoSpaceDE w:val="0"/>
              <w:autoSpaceDN w:val="0"/>
              <w:spacing w:after="0" w:line="240" w:lineRule="auto"/>
              <w:rPr>
                <w:rFonts w:ascii="Century Gothic" w:hAnsi="Century Gothic" w:cs="Arial"/>
              </w:rPr>
            </w:pPr>
            <w:r w:rsidRPr="00D61E32">
              <w:rPr>
                <w:rFonts w:ascii="Century Gothic" w:hAnsi="Century Gothic" w:cs="Arial"/>
              </w:rPr>
              <w:t>Zelis performs the negotiations for out of network claims and after the negotiation is complete the claim is sent back to Wellfleet with the discount applied for processing.</w:t>
            </w:r>
          </w:p>
          <w:p w14:paraId="64F7CC48" w14:textId="5029B797" w:rsidR="002C4430" w:rsidRPr="00D61E32" w:rsidRDefault="00D7275A">
            <w:pPr>
              <w:rPr>
                <w:rFonts w:ascii="Century Gothic" w:hAnsi="Century Gothic" w:cs="Arial"/>
                <w:b/>
              </w:rPr>
            </w:pPr>
            <w:r w:rsidRPr="00D61E32">
              <w:rPr>
                <w:rFonts w:ascii="Century Gothic" w:hAnsi="Century Gothic" w:cs="Arial"/>
                <w:b/>
              </w:rPr>
              <w:t>O</w:t>
            </w:r>
            <w:r w:rsidR="002C4430" w:rsidRPr="00D61E32">
              <w:rPr>
                <w:rFonts w:ascii="Century Gothic" w:hAnsi="Century Gothic" w:cs="Arial"/>
                <w:b/>
              </w:rPr>
              <w:t xml:space="preserve">ut-of-Network Providers Paid at In-Network Level: </w:t>
            </w:r>
          </w:p>
          <w:p w14:paraId="1164C000" w14:textId="77777777" w:rsidR="002C4430" w:rsidRPr="00D61E32" w:rsidRDefault="002C4430">
            <w:pPr>
              <w:rPr>
                <w:rFonts w:ascii="Century Gothic" w:hAnsi="Century Gothic" w:cs="Arial"/>
                <w:bCs/>
                <w:iCs/>
              </w:rPr>
            </w:pPr>
            <w:r w:rsidRPr="00D61E32">
              <w:rPr>
                <w:rFonts w:ascii="Century Gothic" w:hAnsi="Century Gothic" w:cs="Arial"/>
                <w:bCs/>
                <w:iCs/>
              </w:rPr>
              <w:t>In circumstances where a Wellfleet member needs care and there is no In-Network Provider available:</w:t>
            </w:r>
          </w:p>
          <w:p w14:paraId="61266B4F" w14:textId="77777777" w:rsidR="002C4430" w:rsidRPr="00D61E32" w:rsidRDefault="002C4430" w:rsidP="002C4430">
            <w:pPr>
              <w:numPr>
                <w:ilvl w:val="0"/>
                <w:numId w:val="37"/>
              </w:numPr>
              <w:spacing w:after="0" w:line="240" w:lineRule="auto"/>
              <w:rPr>
                <w:rFonts w:ascii="Century Gothic" w:hAnsi="Century Gothic" w:cs="Arial"/>
                <w:bCs/>
                <w:iCs/>
              </w:rPr>
            </w:pPr>
            <w:r w:rsidRPr="00D61E32">
              <w:rPr>
                <w:rFonts w:ascii="Century Gothic" w:hAnsi="Century Gothic" w:cs="Arial"/>
                <w:bCs/>
                <w:iCs/>
              </w:rPr>
              <w:t>with the necessary credentials/</w:t>
            </w:r>
            <w:proofErr w:type="gramStart"/>
            <w:r w:rsidRPr="00D61E32">
              <w:rPr>
                <w:rFonts w:ascii="Century Gothic" w:hAnsi="Century Gothic" w:cs="Arial"/>
                <w:bCs/>
                <w:iCs/>
              </w:rPr>
              <w:t>specialty;</w:t>
            </w:r>
            <w:proofErr w:type="gramEnd"/>
          </w:p>
          <w:p w14:paraId="19EF8F17" w14:textId="77777777" w:rsidR="002C4430" w:rsidRPr="00D61E32" w:rsidRDefault="002C4430" w:rsidP="002C4430">
            <w:pPr>
              <w:numPr>
                <w:ilvl w:val="0"/>
                <w:numId w:val="37"/>
              </w:numPr>
              <w:spacing w:after="0" w:line="240" w:lineRule="auto"/>
              <w:rPr>
                <w:rFonts w:ascii="Century Gothic" w:hAnsi="Century Gothic" w:cs="Arial"/>
                <w:bCs/>
                <w:iCs/>
              </w:rPr>
            </w:pPr>
            <w:r w:rsidRPr="00D61E32">
              <w:rPr>
                <w:rFonts w:ascii="Century Gothic" w:hAnsi="Century Gothic" w:cs="Arial"/>
                <w:bCs/>
                <w:iCs/>
              </w:rPr>
              <w:t xml:space="preserve">within a reasonable distance from </w:t>
            </w:r>
            <w:proofErr w:type="gramStart"/>
            <w:r w:rsidRPr="00D61E32">
              <w:rPr>
                <w:rFonts w:ascii="Century Gothic" w:hAnsi="Century Gothic" w:cs="Arial"/>
                <w:bCs/>
                <w:iCs/>
              </w:rPr>
              <w:t>member;</w:t>
            </w:r>
            <w:proofErr w:type="gramEnd"/>
          </w:p>
          <w:p w14:paraId="16513395" w14:textId="77777777" w:rsidR="002C4430" w:rsidRPr="00D61E32" w:rsidRDefault="002C4430" w:rsidP="002C4430">
            <w:pPr>
              <w:numPr>
                <w:ilvl w:val="0"/>
                <w:numId w:val="37"/>
              </w:numPr>
              <w:spacing w:after="0" w:line="240" w:lineRule="auto"/>
              <w:rPr>
                <w:rFonts w:ascii="Century Gothic" w:hAnsi="Century Gothic" w:cs="Arial"/>
                <w:bCs/>
                <w:iCs/>
              </w:rPr>
            </w:pPr>
            <w:r w:rsidRPr="00D61E32">
              <w:rPr>
                <w:rFonts w:ascii="Century Gothic" w:hAnsi="Century Gothic" w:cs="Arial"/>
                <w:bCs/>
                <w:iCs/>
              </w:rPr>
              <w:t>accepting new patients (if member would be a new patient</w:t>
            </w:r>
            <w:proofErr w:type="gramStart"/>
            <w:r w:rsidRPr="00D61E32">
              <w:rPr>
                <w:rFonts w:ascii="Century Gothic" w:hAnsi="Century Gothic" w:cs="Arial"/>
                <w:bCs/>
                <w:iCs/>
              </w:rPr>
              <w:t>);</w:t>
            </w:r>
            <w:proofErr w:type="gramEnd"/>
          </w:p>
          <w:p w14:paraId="4434A6E2" w14:textId="77777777" w:rsidR="002C4430" w:rsidRPr="00D61E32" w:rsidRDefault="002C4430" w:rsidP="002C4430">
            <w:pPr>
              <w:numPr>
                <w:ilvl w:val="0"/>
                <w:numId w:val="37"/>
              </w:numPr>
              <w:spacing w:after="0" w:line="240" w:lineRule="auto"/>
              <w:rPr>
                <w:rFonts w:ascii="Century Gothic" w:hAnsi="Century Gothic" w:cs="Arial"/>
                <w:bCs/>
                <w:iCs/>
              </w:rPr>
            </w:pPr>
            <w:r w:rsidRPr="00D61E32">
              <w:rPr>
                <w:rFonts w:ascii="Century Gothic" w:hAnsi="Century Gothic" w:cs="Arial"/>
                <w:bCs/>
                <w:iCs/>
              </w:rPr>
              <w:t>within a reasonable appointment wait time; and</w:t>
            </w:r>
          </w:p>
          <w:p w14:paraId="32F2F814" w14:textId="77777777" w:rsidR="002C4430" w:rsidRPr="00D61E32" w:rsidRDefault="002C4430" w:rsidP="002C4430">
            <w:pPr>
              <w:numPr>
                <w:ilvl w:val="0"/>
                <w:numId w:val="37"/>
              </w:numPr>
              <w:spacing w:after="0" w:line="240" w:lineRule="auto"/>
              <w:rPr>
                <w:rFonts w:ascii="Century Gothic" w:hAnsi="Century Gothic" w:cs="Arial"/>
                <w:bCs/>
                <w:iCs/>
              </w:rPr>
            </w:pPr>
            <w:r w:rsidRPr="00D61E32">
              <w:rPr>
                <w:rFonts w:ascii="Century Gothic" w:hAnsi="Century Gothic" w:cs="Arial"/>
                <w:bCs/>
              </w:rPr>
              <w:t>any other material considerations.</w:t>
            </w:r>
          </w:p>
          <w:p w14:paraId="2E23F826" w14:textId="77777777" w:rsidR="002C4430" w:rsidRPr="00D61E32" w:rsidRDefault="002C4430">
            <w:pPr>
              <w:rPr>
                <w:rFonts w:ascii="Century Gothic" w:hAnsi="Century Gothic" w:cs="Arial"/>
                <w:bCs/>
              </w:rPr>
            </w:pPr>
            <w:bookmarkStart w:id="32" w:name="_Hlk497736629"/>
            <w:r w:rsidRPr="00D61E32">
              <w:rPr>
                <w:rFonts w:ascii="Century Gothic" w:hAnsi="Century Gothic" w:cs="Arial"/>
                <w:bCs/>
              </w:rPr>
              <w:t>Then, Wellfleet shall treat the services by an out-of-network provider as if the services were provided by an in-network provider (i.e., for purposes of calculating the deductible, copayment amount, or coinsurance on the member’s plan).</w:t>
            </w:r>
            <w:bookmarkEnd w:id="32"/>
          </w:p>
          <w:p w14:paraId="010DABCD" w14:textId="77777777" w:rsidR="002C4430" w:rsidRPr="00D61E32" w:rsidRDefault="002C4430">
            <w:pPr>
              <w:rPr>
                <w:rFonts w:ascii="Century Gothic" w:hAnsi="Century Gothic" w:cs="Arial"/>
                <w:bCs/>
              </w:rPr>
            </w:pPr>
            <w:bookmarkStart w:id="33" w:name="OLE_LINK55"/>
            <w:r w:rsidRPr="00D61E32">
              <w:rPr>
                <w:rFonts w:ascii="Century Gothic" w:hAnsi="Century Gothic" w:cs="Arial"/>
                <w:bCs/>
              </w:rPr>
              <w:t>Wellfleet will pay at the In-Network level for treatment by an Out-of-Network Provider, and will calculate the cost sharing amount at the In-Network Provider level, if:</w:t>
            </w:r>
          </w:p>
          <w:p w14:paraId="699D176D" w14:textId="77777777" w:rsidR="002C4430" w:rsidRPr="00D61E32" w:rsidRDefault="002C4430">
            <w:pPr>
              <w:rPr>
                <w:rFonts w:ascii="Century Gothic" w:hAnsi="Century Gothic" w:cs="Arial"/>
                <w:bCs/>
              </w:rPr>
            </w:pPr>
            <w:r w:rsidRPr="00D61E32">
              <w:rPr>
                <w:rFonts w:ascii="Century Gothic" w:hAnsi="Century Gothic" w:cs="Arial"/>
                <w:bCs/>
              </w:rPr>
              <w:t>1. There is no In-Network Provider in the Preferred Provider service area available to provide a Preventive Service or treat a member for a specific Covered Injury or Covered Sickness; or</w:t>
            </w:r>
          </w:p>
          <w:p w14:paraId="5B9A2094" w14:textId="77777777" w:rsidR="002C4430" w:rsidRPr="00D61E32" w:rsidRDefault="002C4430">
            <w:pPr>
              <w:rPr>
                <w:rFonts w:ascii="Century Gothic" w:hAnsi="Century Gothic" w:cs="Arial"/>
                <w:bCs/>
              </w:rPr>
            </w:pPr>
            <w:r w:rsidRPr="00D61E32">
              <w:rPr>
                <w:rFonts w:ascii="Century Gothic" w:hAnsi="Century Gothic" w:cs="Arial"/>
                <w:bCs/>
              </w:rPr>
              <w:t xml:space="preserve">2. </w:t>
            </w:r>
            <w:bookmarkStart w:id="34" w:name="OLE_LINK53"/>
            <w:r w:rsidRPr="00D61E32">
              <w:rPr>
                <w:rFonts w:ascii="Century Gothic" w:hAnsi="Century Gothic" w:cs="Arial"/>
                <w:bCs/>
              </w:rPr>
              <w:t>The member has an Emergency Medical Condition and receives Emergency Services from an Out-of-Network Provider or facility</w:t>
            </w:r>
            <w:bookmarkEnd w:id="34"/>
            <w:r w:rsidRPr="00D61E32">
              <w:rPr>
                <w:rFonts w:ascii="Century Gothic" w:hAnsi="Century Gothic" w:cs="Arial"/>
                <w:bCs/>
              </w:rPr>
              <w:t>. The most the Out-of-Network Provider or facility may bill the member is the In-Network cost sharing amount (such as Deductibles, Copayments and Coinsurance). Members cannot be balance billed for these Emergency Services. This includes services members may get after they are in stable condition, unless the Out-of-Network Provider or facility determines that the member can travel using non-medical or non-emergency transportation, the Out-of-Network Provider satisfies the consent and notice requirements, and the member is in a condition to receive notice of, and to consent to, Out-of-Network Treatment; or</w:t>
            </w:r>
          </w:p>
          <w:p w14:paraId="4416E29B" w14:textId="77777777" w:rsidR="002C4430" w:rsidRPr="00D61E32" w:rsidRDefault="002C4430">
            <w:pPr>
              <w:rPr>
                <w:rFonts w:ascii="Century Gothic" w:hAnsi="Century Gothic" w:cs="Arial"/>
                <w:bCs/>
              </w:rPr>
            </w:pPr>
            <w:r w:rsidRPr="00D61E32">
              <w:rPr>
                <w:rFonts w:ascii="Century Gothic" w:hAnsi="Century Gothic" w:cs="Arial"/>
                <w:bCs/>
              </w:rPr>
              <w:t>3. The member receives non-Emergency Services from an In-Network Hospital or Ambulatory Surgical Center, but certain providers there may be Out-of-Network Providers. In these cases, the most Out-of-Network Providers may bill the member is the In-Network cost sharing amount. This applies to emergency medicine, anesthesia, pathology, radiology, laboratory, neonatology, Assistant Surgeon, hospitalist, or intensivist services. These Out-of-Network Providers can’t balance bill the member and may not ask the member to give up their protections not to be balance billed.</w:t>
            </w:r>
          </w:p>
          <w:bookmarkEnd w:id="33"/>
          <w:p w14:paraId="122EA457" w14:textId="77777777" w:rsidR="002C4430" w:rsidRDefault="002C4430">
            <w:pPr>
              <w:rPr>
                <w:rFonts w:ascii="Century Gothic" w:hAnsi="Century Gothic" w:cs="Arial"/>
                <w:bCs/>
              </w:rPr>
            </w:pPr>
            <w:r w:rsidRPr="00D61E32">
              <w:rPr>
                <w:rFonts w:ascii="Century Gothic" w:hAnsi="Century Gothic" w:cs="Arial"/>
                <w:bCs/>
              </w:rPr>
              <w:t>If a member received notice from the Out-of-Network Provider of their non-network status at least 72 hours in advance, or if the member makes an appointment within 72 hours of the services being delivered and notice and consent is given on the date of the service, and the member gave written consent to Treatment, Wellfleet will pay Covered Medical Expenses at the Out-of-Network level as shown in the Schedule of Benefits. This notice and consent exception does not apply to ancillary services, which include items and services related to emergency medicine, anesthesiology, pathology, radiology, and neonatology, whether provided by a Physician or non-Physician practitioner; items and services provided by assistant surgeons, hospitalists, and intensivists; diagnostic services, including radiology and laboratory services; and items and services provided by an Out-of-Network Provider in circumstances where there is no In-Network Provider who can furnish the item or service at the relevant facility.</w:t>
            </w:r>
          </w:p>
          <w:p w14:paraId="0B4C54F1" w14:textId="78AE6ED6" w:rsidR="00F22FCC" w:rsidRPr="00F22FCC" w:rsidRDefault="00F22FCC" w:rsidP="00F22FCC">
            <w:pPr>
              <w:pStyle w:val="BlockText"/>
              <w:rPr>
                <w:rFonts w:ascii="Century Gothic" w:hAnsi="Century Gothic"/>
                <w:color w:val="auto"/>
                <w:sz w:val="22"/>
                <w:shd w:val="clear" w:color="auto" w:fill="FFFFFF"/>
              </w:rPr>
            </w:pPr>
            <w:r w:rsidRPr="00F22FCC">
              <w:rPr>
                <w:rFonts w:ascii="Century Gothic" w:hAnsi="Century Gothic" w:cs="Arial"/>
                <w:bCs/>
                <w:sz w:val="22"/>
              </w:rPr>
              <w:t xml:space="preserve">For more information </w:t>
            </w:r>
            <w:r w:rsidRPr="00F22FCC">
              <w:rPr>
                <w:rFonts w:ascii="Century Gothic" w:hAnsi="Century Gothic"/>
                <w:bCs/>
                <w:sz w:val="22"/>
              </w:rPr>
              <w:t>r</w:t>
            </w:r>
            <w:r w:rsidRPr="00F22FCC">
              <w:rPr>
                <w:rStyle w:val="normaltextrun"/>
                <w:rFonts w:ascii="Century Gothic" w:hAnsi="Century Gothic"/>
                <w:sz w:val="22"/>
                <w:shd w:val="clear" w:color="auto" w:fill="FFFFFF"/>
              </w:rPr>
              <w:t xml:space="preserve">efer to the Maryland Specific Out of Network Provider Paid at In Network Level Guideline document located on the Wellfleet Student Website “Forms” tab on this link:  </w:t>
            </w:r>
            <w:hyperlink r:id="rId15" w:history="1">
              <w:r w:rsidRPr="00F22FCC">
                <w:rPr>
                  <w:rStyle w:val="Hyperlink"/>
                  <w:rFonts w:ascii="Century Gothic" w:hAnsi="Century Gothic"/>
                  <w:iCs w:val="0"/>
                  <w:sz w:val="22"/>
                  <w:shd w:val="clear" w:color="auto" w:fill="FFFFFF"/>
                </w:rPr>
                <w:t>http://wellfleetstudent.com/wp-content/uploads/2022/11/WIC-MD-Out-of-Network-Provider-paid-at-in-network-level-guideline-v11-18-22-final-for-website.pdf</w:t>
              </w:r>
            </w:hyperlink>
          </w:p>
        </w:tc>
        <w:tc>
          <w:tcPr>
            <w:tcW w:w="2524" w:type="pct"/>
            <w:tcBorders>
              <w:top w:val="single" w:sz="4" w:space="0" w:color="auto"/>
              <w:left w:val="single" w:sz="4" w:space="0" w:color="auto"/>
              <w:bottom w:val="single" w:sz="4" w:space="0" w:color="auto"/>
              <w:right w:val="single" w:sz="4" w:space="0" w:color="auto"/>
            </w:tcBorders>
          </w:tcPr>
          <w:p w14:paraId="0A6353FB" w14:textId="77777777" w:rsidR="002C4430" w:rsidRPr="00D61E32" w:rsidRDefault="002C4430">
            <w:pPr>
              <w:rPr>
                <w:rFonts w:ascii="Century Gothic" w:hAnsi="Century Gothic" w:cs="Arial"/>
                <w:b/>
                <w:bCs/>
              </w:rPr>
            </w:pPr>
            <w:r w:rsidRPr="00D61E32">
              <w:rPr>
                <w:rFonts w:ascii="Century Gothic" w:hAnsi="Century Gothic" w:cs="Arial"/>
                <w:b/>
                <w:bCs/>
              </w:rPr>
              <w:t xml:space="preserve">Determining OON Rates: </w:t>
            </w:r>
          </w:p>
          <w:p w14:paraId="1F998107" w14:textId="77777777" w:rsidR="002C4430" w:rsidRPr="00D61E32" w:rsidRDefault="002C4430" w:rsidP="002C4430">
            <w:pPr>
              <w:pStyle w:val="ListParagraph"/>
              <w:widowControl w:val="0"/>
              <w:numPr>
                <w:ilvl w:val="0"/>
                <w:numId w:val="38"/>
              </w:numPr>
              <w:autoSpaceDE w:val="0"/>
              <w:autoSpaceDN w:val="0"/>
              <w:spacing w:after="0" w:line="240" w:lineRule="auto"/>
              <w:rPr>
                <w:rFonts w:ascii="Century Gothic" w:hAnsi="Century Gothic" w:cs="Arial"/>
              </w:rPr>
            </w:pPr>
            <w:r w:rsidRPr="00D61E32">
              <w:rPr>
                <w:rFonts w:ascii="Century Gothic" w:hAnsi="Century Gothic" w:cs="Arial"/>
              </w:rPr>
              <w:t xml:space="preserve">Wellfleet applies Reasonable and Customary (R&amp;C) reimbursement rates to all OON outpatient and OON emergency MH/SUD </w:t>
            </w:r>
            <w:proofErr w:type="gramStart"/>
            <w:r w:rsidRPr="00D61E32">
              <w:rPr>
                <w:rFonts w:ascii="Century Gothic" w:hAnsi="Century Gothic" w:cs="Arial"/>
              </w:rPr>
              <w:t>benefits</w:t>
            </w:r>
            <w:proofErr w:type="gramEnd"/>
          </w:p>
          <w:p w14:paraId="5EF7AFE6" w14:textId="77777777" w:rsidR="002C4430" w:rsidRPr="00D61E32" w:rsidRDefault="002C4430" w:rsidP="002C4430">
            <w:pPr>
              <w:numPr>
                <w:ilvl w:val="0"/>
                <w:numId w:val="38"/>
              </w:numPr>
              <w:spacing w:after="0" w:line="240" w:lineRule="auto"/>
              <w:rPr>
                <w:rFonts w:ascii="Century Gothic" w:hAnsi="Century Gothic" w:cs="Arial"/>
                <w:lang w:bidi="en-US"/>
              </w:rPr>
            </w:pPr>
            <w:r w:rsidRPr="00D61E32">
              <w:rPr>
                <w:rFonts w:ascii="Century Gothic" w:hAnsi="Century Gothic" w:cs="Arial"/>
                <w:lang w:bidi="en-US"/>
              </w:rPr>
              <w:t xml:space="preserve">After applying R&amp;C, OON outpatient and OON emergency, as well as all original OON inpatient M/S benefit claims (not MH/SUD claims) are sent to </w:t>
            </w:r>
            <w:proofErr w:type="gramStart"/>
            <w:r w:rsidRPr="00D61E32">
              <w:rPr>
                <w:rFonts w:ascii="Century Gothic" w:hAnsi="Century Gothic" w:cs="Arial"/>
                <w:lang w:bidi="en-US"/>
              </w:rPr>
              <w:t>Zelis</w:t>
            </w:r>
            <w:proofErr w:type="gramEnd"/>
            <w:r w:rsidRPr="00D61E32">
              <w:rPr>
                <w:rFonts w:ascii="Century Gothic" w:hAnsi="Century Gothic" w:cs="Arial"/>
                <w:lang w:bidi="en-US"/>
              </w:rPr>
              <w:t xml:space="preserve"> </w:t>
            </w:r>
          </w:p>
          <w:p w14:paraId="5F23F9E6" w14:textId="57744D72" w:rsidR="002C4430" w:rsidRPr="00D61E32" w:rsidRDefault="002C4430" w:rsidP="002C4430">
            <w:pPr>
              <w:numPr>
                <w:ilvl w:val="1"/>
                <w:numId w:val="38"/>
              </w:numPr>
              <w:spacing w:after="0" w:line="240" w:lineRule="auto"/>
              <w:rPr>
                <w:rFonts w:ascii="Century Gothic" w:hAnsi="Century Gothic" w:cs="Arial"/>
                <w:lang w:bidi="en-US"/>
              </w:rPr>
            </w:pPr>
            <w:r w:rsidRPr="00D61E32">
              <w:rPr>
                <w:rFonts w:ascii="Century Gothic" w:hAnsi="Century Gothic" w:cs="Arial"/>
              </w:rPr>
              <w:t>Zelis* applies their</w:t>
            </w:r>
            <w:r w:rsidR="00F22FCC">
              <w:rPr>
                <w:rFonts w:ascii="Century Gothic" w:hAnsi="Century Gothic" w:cs="Arial"/>
              </w:rPr>
              <w:t xml:space="preserve"> </w:t>
            </w:r>
            <w:r w:rsidRPr="00D61E32">
              <w:rPr>
                <w:rFonts w:ascii="Century Gothic" w:hAnsi="Century Gothic" w:cs="Arial"/>
              </w:rPr>
              <w:t xml:space="preserve">rates to any applicable OON inpatient, OON outpatient, and OON emergency M/S benefits for comparison to the ERS rates. </w:t>
            </w:r>
          </w:p>
          <w:p w14:paraId="0236C340" w14:textId="77777777" w:rsidR="002C4430" w:rsidRPr="00D61E32" w:rsidRDefault="002C4430">
            <w:pPr>
              <w:rPr>
                <w:rFonts w:ascii="Century Gothic" w:hAnsi="Century Gothic" w:cs="Arial"/>
                <w:bCs/>
                <w:iCs/>
              </w:rPr>
            </w:pPr>
          </w:p>
          <w:p w14:paraId="09ED27CC" w14:textId="19B70448" w:rsidR="002C4430" w:rsidRPr="00D61E32" w:rsidRDefault="002C4430">
            <w:pPr>
              <w:rPr>
                <w:rFonts w:ascii="Century Gothic" w:hAnsi="Century Gothic" w:cs="Arial"/>
                <w:bCs/>
                <w:iCs/>
              </w:rPr>
            </w:pPr>
            <w:r w:rsidRPr="00D61E32">
              <w:rPr>
                <w:rFonts w:ascii="Century Gothic" w:hAnsi="Century Gothic" w:cs="Arial"/>
                <w:bCs/>
                <w:iCs/>
              </w:rPr>
              <w:t xml:space="preserve">*Zelis doesn’t offer ERS for </w:t>
            </w:r>
            <w:r w:rsidR="00F22FCC">
              <w:rPr>
                <w:rFonts w:ascii="Century Gothic" w:hAnsi="Century Gothic" w:cs="Arial"/>
                <w:bCs/>
                <w:iCs/>
              </w:rPr>
              <w:t xml:space="preserve">outpatient </w:t>
            </w:r>
            <w:r w:rsidRPr="00D61E32">
              <w:rPr>
                <w:rFonts w:ascii="Century Gothic" w:hAnsi="Century Gothic" w:cs="Arial"/>
                <w:bCs/>
                <w:iCs/>
              </w:rPr>
              <w:t>MH/SUD claims. Zelis’ experience has shown that MH/SUD facilities and providers generally will not accept ERS payments. Wellfleet’s experience is that MH/SUD facilities and providers generally will accept R&amp;C payments, which tend to be higher than ERS payments.</w:t>
            </w:r>
          </w:p>
          <w:p w14:paraId="7149EDAE" w14:textId="77777777" w:rsidR="002C4430" w:rsidRPr="00D61E32" w:rsidRDefault="002C4430">
            <w:pPr>
              <w:rPr>
                <w:rFonts w:ascii="Century Gothic" w:hAnsi="Century Gothic" w:cs="Arial"/>
                <w:bCs/>
                <w:iCs/>
              </w:rPr>
            </w:pPr>
          </w:p>
          <w:p w14:paraId="3C302E23" w14:textId="77777777" w:rsidR="002C4430" w:rsidRPr="00D61E32" w:rsidRDefault="002C4430">
            <w:pPr>
              <w:rPr>
                <w:rFonts w:ascii="Century Gothic" w:hAnsi="Century Gothic" w:cs="Arial"/>
                <w:b/>
              </w:rPr>
            </w:pPr>
            <w:r w:rsidRPr="00D61E32">
              <w:rPr>
                <w:rFonts w:ascii="Century Gothic" w:hAnsi="Century Gothic" w:cs="Arial"/>
                <w:b/>
              </w:rPr>
              <w:t xml:space="preserve">Out-of-Network Providers Paid at In-Network Level: </w:t>
            </w:r>
          </w:p>
          <w:p w14:paraId="1F66CD5B" w14:textId="77777777" w:rsidR="002C4430" w:rsidRPr="00D61E32" w:rsidRDefault="002C4430">
            <w:pPr>
              <w:rPr>
                <w:rFonts w:ascii="Century Gothic" w:hAnsi="Century Gothic" w:cs="Arial"/>
                <w:bCs/>
              </w:rPr>
            </w:pPr>
            <w:r w:rsidRPr="00D61E32">
              <w:rPr>
                <w:rFonts w:ascii="Century Gothic" w:hAnsi="Century Gothic" w:cs="Arial"/>
                <w:bCs/>
              </w:rPr>
              <w:t xml:space="preserve">Same as M/S </w:t>
            </w:r>
          </w:p>
        </w:tc>
      </w:tr>
      <w:tr w:rsidR="002C4430" w:rsidRPr="00D61E32" w14:paraId="3F738FC6" w14:textId="77777777" w:rsidTr="002C4430">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6F21D" w14:textId="77777777" w:rsidR="002C4430" w:rsidRPr="00D61E32" w:rsidRDefault="002C4430">
            <w:pPr>
              <w:rPr>
                <w:rFonts w:ascii="Century Gothic" w:hAnsi="Century Gothic" w:cs="Arial"/>
                <w:b/>
              </w:rPr>
            </w:pPr>
            <w:r w:rsidRPr="00D61E32">
              <w:rPr>
                <w:rFonts w:ascii="Century Gothic" w:hAnsi="Century Gothic" w:cs="Arial"/>
                <w:b/>
                <w:u w:val="single"/>
              </w:rPr>
              <w:t>In writing Analysis</w:t>
            </w:r>
            <w:r w:rsidRPr="00D61E32">
              <w:rPr>
                <w:rFonts w:ascii="Century Gothic" w:hAnsi="Century Gothic" w:cs="Arial"/>
                <w:b/>
              </w:rPr>
              <w:t xml:space="preserve">: </w:t>
            </w:r>
          </w:p>
          <w:p w14:paraId="1F109CBA" w14:textId="77777777" w:rsidR="002C4430" w:rsidRPr="00D61E32" w:rsidRDefault="002C4430">
            <w:pPr>
              <w:rPr>
                <w:rFonts w:ascii="Century Gothic" w:hAnsi="Century Gothic" w:cs="Arial"/>
                <w:bCs/>
              </w:rPr>
            </w:pPr>
            <w:r w:rsidRPr="00D61E32">
              <w:rPr>
                <w:rFonts w:ascii="Century Gothic" w:hAnsi="Century Gothic" w:cs="Arial"/>
                <w:bCs/>
              </w:rPr>
              <w:t xml:space="preserve">Wellfleet’s policy for payment of out-of-network claims is to pay 80% of the Fair Health Average billed charge, for both M/S and MH/SUD providers. There is a single policy for all provider claims, independent of whether the claim is for an M/S or an MH/SUD provider. </w:t>
            </w:r>
          </w:p>
          <w:p w14:paraId="6AD66F2A" w14:textId="1E145BC2" w:rsidR="002C4430" w:rsidRPr="00D11971" w:rsidRDefault="002C4430">
            <w:pPr>
              <w:rPr>
                <w:rFonts w:ascii="Century Gothic" w:hAnsi="Century Gothic" w:cs="Arial"/>
                <w:iCs/>
              </w:rPr>
            </w:pPr>
            <w:r w:rsidRPr="00D61E32">
              <w:rPr>
                <w:rFonts w:ascii="Century Gothic" w:hAnsi="Century Gothic" w:cs="Arial"/>
                <w:bCs/>
              </w:rPr>
              <w:t xml:space="preserve">In addition, while Zelis is used as an additional source for M/S services, MH/SUD services are not subject to this additional layer of review by Zelis. For both MH/SUD and M/S OON services, </w:t>
            </w:r>
            <w:r w:rsidRPr="00D61E32">
              <w:rPr>
                <w:rFonts w:ascii="Century Gothic" w:hAnsi="Century Gothic" w:cs="Arial"/>
                <w:iCs/>
              </w:rPr>
              <w:t xml:space="preserve">Wellfleet uses Reasonable and Customary (R&amp;C) pricing data to price its out-of-network claims. Wellfleet considers the total billed charges to all health plans for similar services/supplies by CPT/HCPCS coding within the same region as defined by Zip codes. This pricing methodology is the same for MH/SUD and M/S services. However, Zelis’s review to obtain a discount is only applied to M/S services. As a result, this NQTL is applied more </w:t>
            </w:r>
            <w:proofErr w:type="gramStart"/>
            <w:r w:rsidRPr="00D61E32">
              <w:rPr>
                <w:rFonts w:ascii="Century Gothic" w:hAnsi="Century Gothic" w:cs="Arial"/>
                <w:iCs/>
              </w:rPr>
              <w:t>favorable</w:t>
            </w:r>
            <w:proofErr w:type="gramEnd"/>
            <w:r w:rsidRPr="00D61E32">
              <w:rPr>
                <w:rFonts w:ascii="Century Gothic" w:hAnsi="Century Gothic" w:cs="Arial"/>
                <w:iCs/>
              </w:rPr>
              <w:t xml:space="preserve"> for MH/SUD benefits because Zelis’s review allows for reimbursement rates to be lowered for M/S services, based on discounts and contractual relationships available to Zelis. This has the overall effect of driving down reimbursement rates for M/S services. However, Zelis’s process is not applied to</w:t>
            </w:r>
            <w:r w:rsidR="00F22FCC">
              <w:rPr>
                <w:rFonts w:ascii="Century Gothic" w:hAnsi="Century Gothic" w:cs="Arial"/>
                <w:iCs/>
              </w:rPr>
              <w:t xml:space="preserve"> out of network outpatient </w:t>
            </w:r>
            <w:r w:rsidRPr="00D61E32">
              <w:rPr>
                <w:rFonts w:ascii="Century Gothic" w:hAnsi="Century Gothic" w:cs="Arial"/>
                <w:iCs/>
              </w:rPr>
              <w:t xml:space="preserve"> MH/SUD services, thus, only the R&amp;C rates are applied to MH/SUD services which is generally higher than the ERS payments negotiated by Zelis for M/S services. Therefore, because there is process of obtaining lower or discounted rates for M/S benefits but not for MH/SUD benefits, this demonstrates that the process of applying OON reimbursement rates is more favorable and less stringent for MH/SUD services compared to M/S services. </w:t>
            </w:r>
          </w:p>
        </w:tc>
      </w:tr>
      <w:tr w:rsidR="002C4430" w:rsidRPr="00D61E32" w14:paraId="0CC4534F" w14:textId="77777777" w:rsidTr="002C4430">
        <w:trPr>
          <w:trHeight w:val="2348"/>
        </w:trPr>
        <w:tc>
          <w:tcPr>
            <w:tcW w:w="5000" w:type="pct"/>
            <w:gridSpan w:val="2"/>
            <w:tcBorders>
              <w:top w:val="single" w:sz="4" w:space="0" w:color="auto"/>
              <w:left w:val="single" w:sz="4" w:space="0" w:color="auto"/>
              <w:bottom w:val="single" w:sz="4" w:space="0" w:color="auto"/>
              <w:right w:val="single" w:sz="4" w:space="0" w:color="auto"/>
            </w:tcBorders>
          </w:tcPr>
          <w:p w14:paraId="4F5F7FF6" w14:textId="77777777" w:rsidR="002C4430" w:rsidRPr="00D61E32" w:rsidRDefault="002C4430">
            <w:pPr>
              <w:pStyle w:val="BodyText"/>
              <w:spacing w:line="264" w:lineRule="auto"/>
              <w:rPr>
                <w:rFonts w:ascii="Century Gothic" w:hAnsi="Century Gothic" w:cs="Arial"/>
                <w:b/>
                <w:bCs/>
                <w:iCs/>
                <w:sz w:val="22"/>
                <w:szCs w:val="22"/>
                <w:u w:val="single"/>
              </w:rPr>
            </w:pPr>
            <w:r w:rsidRPr="00D61E32">
              <w:rPr>
                <w:rFonts w:ascii="Century Gothic" w:hAnsi="Century Gothic" w:cs="Arial"/>
                <w:b/>
                <w:bCs/>
                <w:iCs/>
                <w:sz w:val="22"/>
                <w:szCs w:val="22"/>
                <w:u w:val="single"/>
              </w:rPr>
              <w:t xml:space="preserve">In operation - data: </w:t>
            </w:r>
          </w:p>
          <w:p w14:paraId="1DBCE2D3" w14:textId="77777777" w:rsidR="002C4430" w:rsidRPr="00D61E32" w:rsidRDefault="002C4430">
            <w:pPr>
              <w:pStyle w:val="BodyText"/>
              <w:spacing w:line="264" w:lineRule="auto"/>
              <w:rPr>
                <w:rFonts w:ascii="Century Gothic" w:hAnsi="Century Gothic" w:cs="Arial"/>
                <w:iCs/>
                <w:sz w:val="22"/>
                <w:szCs w:val="22"/>
              </w:rPr>
            </w:pPr>
            <w:r w:rsidRPr="00D61E32">
              <w:rPr>
                <w:rFonts w:ascii="Century Gothic" w:hAnsi="Century Gothic" w:cs="Arial"/>
                <w:iCs/>
                <w:sz w:val="22"/>
                <w:szCs w:val="22"/>
              </w:rPr>
              <w:t xml:space="preserve">Zelis Claims Reimbursement edits demonstrates a total % of edits per claim of $0.52 and 33% of total edits for MS and $0.36 and 14% of total edits for MH/SUD. The average edit per claim is greater for MS than that of MHSUD and higher % of edits. </w:t>
            </w:r>
          </w:p>
          <w:p w14:paraId="7256860D" w14:textId="77777777" w:rsidR="002C4430" w:rsidRPr="00D61E32" w:rsidRDefault="002C4430">
            <w:pPr>
              <w:pStyle w:val="Header"/>
              <w:rPr>
                <w:rFonts w:ascii="Century Gothic" w:hAnsi="Century Gothic" w:cs="Arial"/>
                <w:b/>
              </w:rPr>
            </w:pPr>
            <w:r w:rsidRPr="00D61E32">
              <w:rPr>
                <w:rFonts w:ascii="Century Gothic" w:hAnsi="Century Gothic" w:cs="Arial"/>
                <w:b/>
              </w:rPr>
              <w:t>Wellfleet Provider Reimbursement Rates, Out-Of-Network, Versus Medicare:</w:t>
            </w:r>
          </w:p>
          <w:p w14:paraId="464DEDF4" w14:textId="77777777" w:rsidR="002C4430" w:rsidRPr="00D61E32" w:rsidRDefault="002C4430">
            <w:pPr>
              <w:rPr>
                <w:rFonts w:ascii="Century Gothic" w:eastAsia="Calibri" w:hAnsi="Century Gothic" w:cs="Arial"/>
              </w:rPr>
            </w:pPr>
            <w:r w:rsidRPr="00D61E32">
              <w:rPr>
                <w:rFonts w:ascii="Century Gothic" w:eastAsia="Calibri" w:hAnsi="Century Gothic" w:cs="Arial"/>
              </w:rPr>
              <w:t xml:space="preserve">Wellfleet performed a comparison of average out of network claims payments during calendar year 2023 as a percentage of Medicare rates for the Wellfleet book of business for nine (9) CPT codes across three (3)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primary care physician types, five (5)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physician specialty types, four (4)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ancillary types and, one (1) MHSUD physician type, and two (2) MHSUD ancillary types. The results are as follows: </w:t>
            </w:r>
          </w:p>
          <w:p w14:paraId="6069D22E" w14:textId="77777777" w:rsidR="002C4430" w:rsidRPr="00D61E32" w:rsidRDefault="002C4430" w:rsidP="002C4430">
            <w:pPr>
              <w:numPr>
                <w:ilvl w:val="0"/>
                <w:numId w:val="30"/>
              </w:numPr>
              <w:spacing w:after="0" w:line="240" w:lineRule="auto"/>
              <w:rPr>
                <w:rFonts w:ascii="Century Gothic" w:eastAsia="Calibri" w:hAnsi="Century Gothic" w:cs="Arial"/>
              </w:rPr>
            </w:pPr>
            <w:r w:rsidRPr="00D61E32">
              <w:rPr>
                <w:rFonts w:ascii="Century Gothic" w:eastAsia="Calibri" w:hAnsi="Century Gothic" w:cs="Arial"/>
              </w:rPr>
              <w:t xml:space="preserve">99203: There were insufficient MH/SUD 99203 claims except for psychologists resulting on 373% more than Medicare, whereas the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claims for 99203 were from 114% to 241% of Medicare. No concerning differences were noted.</w:t>
            </w:r>
          </w:p>
          <w:p w14:paraId="649B6D1C" w14:textId="77777777" w:rsidR="002C4430" w:rsidRPr="00D61E32" w:rsidRDefault="002C4430" w:rsidP="002C4430">
            <w:pPr>
              <w:numPr>
                <w:ilvl w:val="0"/>
                <w:numId w:val="30"/>
              </w:numPr>
              <w:spacing w:after="0" w:line="240" w:lineRule="auto"/>
              <w:rPr>
                <w:rFonts w:ascii="Century Gothic" w:eastAsia="Calibri" w:hAnsi="Century Gothic" w:cs="Arial"/>
              </w:rPr>
            </w:pPr>
            <w:r w:rsidRPr="00D61E32">
              <w:rPr>
                <w:rFonts w:ascii="Century Gothic" w:eastAsia="Calibri" w:hAnsi="Century Gothic" w:cs="Arial"/>
              </w:rPr>
              <w:t xml:space="preserve">99213, 90832 &amp; 90834: MH/SUD psychiatrists, social workers and psychologists  were reimbursed the most (&gt; 500% of Medicare) vs.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PCPs (120-188% of Medicare) vs.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specialists (87%-311% of Medicare). The significant results for both M/S and MH/SUD show reimbursement substantially more for MHSUD.</w:t>
            </w:r>
          </w:p>
          <w:p w14:paraId="0E0E7623" w14:textId="77777777" w:rsidR="002C4430" w:rsidRPr="00D61E32" w:rsidRDefault="002C4430" w:rsidP="002C4430">
            <w:pPr>
              <w:numPr>
                <w:ilvl w:val="0"/>
                <w:numId w:val="30"/>
              </w:numPr>
              <w:spacing w:after="0" w:line="240" w:lineRule="auto"/>
              <w:rPr>
                <w:rFonts w:ascii="Century Gothic" w:eastAsia="Calibri" w:hAnsi="Century Gothic" w:cs="Arial"/>
              </w:rPr>
            </w:pPr>
            <w:r w:rsidRPr="00D61E32">
              <w:rPr>
                <w:rFonts w:ascii="Century Gothic" w:eastAsia="Calibri" w:hAnsi="Century Gothic" w:cs="Arial"/>
              </w:rPr>
              <w:t xml:space="preserve">99204 &amp; 90791: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shows significant outlier of Physical Therapy at 776% of Medicare whereas the rest of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shows average of 140-358% of Medicare.  MH/SUD significant results were both reimbursed &gt;285% of Medicare. No concerning differences were noted.</w:t>
            </w:r>
          </w:p>
          <w:p w14:paraId="5BC6F06B" w14:textId="77777777" w:rsidR="002C4430" w:rsidRPr="00D61E32" w:rsidRDefault="002C4430" w:rsidP="002C4430">
            <w:pPr>
              <w:numPr>
                <w:ilvl w:val="0"/>
                <w:numId w:val="30"/>
              </w:numPr>
              <w:spacing w:after="0" w:line="240" w:lineRule="auto"/>
              <w:rPr>
                <w:rFonts w:ascii="Century Gothic" w:hAnsi="Century Gothic" w:cs="Times New Roman"/>
              </w:rPr>
            </w:pPr>
            <w:r w:rsidRPr="00D61E32">
              <w:rPr>
                <w:rFonts w:ascii="Century Gothic" w:eastAsia="Calibri" w:hAnsi="Century Gothic" w:cs="Arial"/>
              </w:rPr>
              <w:t xml:space="preserve">99214, 90837 &amp; 90830: MHSUD claims show a significant % of Medicare reimbursed more than that of </w:t>
            </w:r>
            <w:proofErr w:type="spellStart"/>
            <w:r w:rsidRPr="00D61E32">
              <w:rPr>
                <w:rFonts w:ascii="Century Gothic" w:eastAsia="Calibri" w:hAnsi="Century Gothic" w:cs="Arial"/>
              </w:rPr>
              <w:t>MedSurg</w:t>
            </w:r>
            <w:proofErr w:type="spellEnd"/>
            <w:r w:rsidRPr="00D61E32">
              <w:rPr>
                <w:rFonts w:ascii="Century Gothic" w:eastAsia="Calibri" w:hAnsi="Century Gothic" w:cs="Arial"/>
              </w:rPr>
              <w:t xml:space="preserve"> providers. </w:t>
            </w:r>
          </w:p>
          <w:p w14:paraId="7A0224B1" w14:textId="77777777" w:rsidR="002C4430" w:rsidRPr="00D61E32" w:rsidRDefault="002C4430">
            <w:pPr>
              <w:rPr>
                <w:rFonts w:ascii="Century Gothic" w:eastAsia="Calibri" w:hAnsi="Century Gothic" w:cs="Arial"/>
              </w:rPr>
            </w:pPr>
          </w:p>
          <w:p w14:paraId="41A908D3" w14:textId="4896E19B" w:rsidR="002C4430" w:rsidRPr="00D11971" w:rsidRDefault="002C4430">
            <w:pPr>
              <w:pStyle w:val="BodyText"/>
              <w:rPr>
                <w:rFonts w:ascii="Century Gothic" w:eastAsiaTheme="minorHAnsi" w:hAnsi="Century Gothic" w:cs="Arial"/>
                <w:iCs/>
                <w:sz w:val="22"/>
                <w:szCs w:val="22"/>
              </w:rPr>
            </w:pPr>
            <w:r w:rsidRPr="00D61E32">
              <w:rPr>
                <w:rFonts w:ascii="Century Gothic" w:hAnsi="Century Gothic" w:cs="Arial"/>
                <w:iCs/>
                <w:sz w:val="22"/>
                <w:szCs w:val="22"/>
              </w:rPr>
              <w:t xml:space="preserve"> </w:t>
            </w:r>
            <w:r w:rsidRPr="00D61E32">
              <w:rPr>
                <w:rFonts w:ascii="Century Gothic" w:hAnsi="Century Gothic"/>
                <w:noProof/>
                <w:sz w:val="22"/>
                <w:szCs w:val="22"/>
              </w:rPr>
              <w:drawing>
                <wp:inline distT="0" distB="0" distL="0" distR="0" wp14:anchorId="1B10B740" wp14:editId="7949505D">
                  <wp:extent cx="5619750" cy="3286125"/>
                  <wp:effectExtent l="0" t="0" r="0" b="9525"/>
                  <wp:docPr id="502292302" name="Picture 4" descr="A graph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292302" name="Picture 4" descr="A graph with blue and black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3286125"/>
                          </a:xfrm>
                          <a:prstGeom prst="rect">
                            <a:avLst/>
                          </a:prstGeom>
                          <a:noFill/>
                          <a:ln>
                            <a:noFill/>
                          </a:ln>
                        </pic:spPr>
                      </pic:pic>
                    </a:graphicData>
                  </a:graphic>
                </wp:inline>
              </w:drawing>
            </w:r>
            <w:r w:rsidRPr="00D61E32">
              <w:rPr>
                <w:rFonts w:ascii="Century Gothic" w:hAnsi="Century Gothic" w:cs="Arial"/>
                <w:iCs/>
                <w:sz w:val="22"/>
                <w:szCs w:val="22"/>
              </w:rPr>
              <w:t xml:space="preserve"> </w:t>
            </w:r>
            <w:r w:rsidRPr="00D61E32">
              <w:rPr>
                <w:rFonts w:ascii="Century Gothic" w:hAnsi="Century Gothic"/>
                <w:noProof/>
                <w:sz w:val="22"/>
                <w:szCs w:val="22"/>
              </w:rPr>
              <w:drawing>
                <wp:inline distT="0" distB="0" distL="0" distR="0" wp14:anchorId="6B52C9C5" wp14:editId="1CC5CEB8">
                  <wp:extent cx="5648325" cy="3267075"/>
                  <wp:effectExtent l="0" t="0" r="9525" b="9525"/>
                  <wp:docPr id="2051069852" name="Picture 3" descr="A graph with blue and whit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069852" name="Picture 3" descr="A graph with blue and white bar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3267075"/>
                          </a:xfrm>
                          <a:prstGeom prst="rect">
                            <a:avLst/>
                          </a:prstGeom>
                          <a:noFill/>
                          <a:ln>
                            <a:noFill/>
                          </a:ln>
                        </pic:spPr>
                      </pic:pic>
                    </a:graphicData>
                  </a:graphic>
                </wp:inline>
              </w:drawing>
            </w:r>
            <w:r w:rsidRPr="00D61E32">
              <w:rPr>
                <w:rFonts w:ascii="Century Gothic" w:hAnsi="Century Gothic"/>
                <w:noProof/>
                <w:sz w:val="22"/>
                <w:szCs w:val="22"/>
              </w:rPr>
              <w:drawing>
                <wp:inline distT="0" distB="0" distL="0" distR="0" wp14:anchorId="62137B42" wp14:editId="74356C03">
                  <wp:extent cx="5686425" cy="3362325"/>
                  <wp:effectExtent l="0" t="0" r="9525" b="9525"/>
                  <wp:docPr id="1417567241"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567241" name="Picture 2" descr="A screenshot of a graph&#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3362325"/>
                          </a:xfrm>
                          <a:prstGeom prst="rect">
                            <a:avLst/>
                          </a:prstGeom>
                          <a:noFill/>
                          <a:ln>
                            <a:noFill/>
                          </a:ln>
                        </pic:spPr>
                      </pic:pic>
                    </a:graphicData>
                  </a:graphic>
                </wp:inline>
              </w:drawing>
            </w:r>
            <w:r w:rsidRPr="00D61E32">
              <w:rPr>
                <w:rFonts w:ascii="Century Gothic" w:hAnsi="Century Gothic"/>
                <w:noProof/>
                <w:sz w:val="22"/>
                <w:szCs w:val="22"/>
              </w:rPr>
              <w:drawing>
                <wp:inline distT="0" distB="0" distL="0" distR="0" wp14:anchorId="206C7403" wp14:editId="46C4DB8E">
                  <wp:extent cx="5734050" cy="3314700"/>
                  <wp:effectExtent l="0" t="0" r="0" b="0"/>
                  <wp:docPr id="587536575" name="Picture 1" descr="A graph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536575" name="Picture 1" descr="A graph with blue and black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3314700"/>
                          </a:xfrm>
                          <a:prstGeom prst="rect">
                            <a:avLst/>
                          </a:prstGeom>
                          <a:noFill/>
                          <a:ln>
                            <a:noFill/>
                          </a:ln>
                        </pic:spPr>
                      </pic:pic>
                    </a:graphicData>
                  </a:graphic>
                </wp:inline>
              </w:drawing>
            </w:r>
          </w:p>
        </w:tc>
      </w:tr>
      <w:tr w:rsidR="002C4430" w:rsidRPr="00D61E32" w14:paraId="2CC86A60" w14:textId="77777777" w:rsidTr="002C4430">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CAA34" w14:textId="77777777" w:rsidR="002C4430" w:rsidRPr="00D61E32" w:rsidRDefault="002C4430">
            <w:pPr>
              <w:rPr>
                <w:rFonts w:ascii="Century Gothic" w:hAnsi="Century Gothic" w:cs="Arial"/>
                <w:b/>
                <w:bCs/>
              </w:rPr>
            </w:pPr>
            <w:r w:rsidRPr="00D61E32">
              <w:rPr>
                <w:rFonts w:ascii="Century Gothic" w:hAnsi="Century Gothic" w:cs="Arial"/>
                <w:b/>
                <w:bCs/>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D61E32">
              <w:rPr>
                <w:rFonts w:ascii="Century Gothic" w:hAnsi="Century Gothic" w:cs="Arial"/>
                <w:b/>
                <w:bCs/>
              </w:rPr>
              <w:t>section</w:t>
            </w:r>
            <w:proofErr w:type="gramEnd"/>
          </w:p>
          <w:p w14:paraId="7ADA890B" w14:textId="77777777" w:rsidR="002C4430" w:rsidRPr="00D61E32" w:rsidRDefault="002C4430" w:rsidP="002C4430">
            <w:pPr>
              <w:numPr>
                <w:ilvl w:val="0"/>
                <w:numId w:val="20"/>
              </w:numPr>
              <w:spacing w:after="0" w:line="240" w:lineRule="auto"/>
              <w:rPr>
                <w:rFonts w:ascii="Century Gothic" w:hAnsi="Century Gothic" w:cs="Arial"/>
                <w:bCs/>
                <w:i/>
              </w:rPr>
            </w:pPr>
            <w:r w:rsidRPr="00D61E32">
              <w:rPr>
                <w:rFonts w:ascii="Century Gothic" w:hAnsi="Century Gothic" w:cs="Arial"/>
                <w:bCs/>
                <w:i/>
              </w:rPr>
              <w:t>This discussion should include citations to any specific evidence considered and any results of analyses indicating that the plan or coverage is or is not in compliance with MHPAEA</w:t>
            </w:r>
          </w:p>
        </w:tc>
      </w:tr>
      <w:tr w:rsidR="002C4430" w:rsidRPr="00D61E32" w14:paraId="6E19AE86" w14:textId="77777777" w:rsidTr="002C4430">
        <w:trPr>
          <w:trHeight w:val="440"/>
        </w:trPr>
        <w:tc>
          <w:tcPr>
            <w:tcW w:w="5000" w:type="pct"/>
            <w:gridSpan w:val="2"/>
            <w:tcBorders>
              <w:top w:val="single" w:sz="4" w:space="0" w:color="auto"/>
              <w:left w:val="single" w:sz="4" w:space="0" w:color="auto"/>
              <w:bottom w:val="single" w:sz="4" w:space="0" w:color="auto"/>
              <w:right w:val="single" w:sz="4" w:space="0" w:color="auto"/>
            </w:tcBorders>
          </w:tcPr>
          <w:p w14:paraId="1FA5B6A0" w14:textId="77777777" w:rsidR="002C4430" w:rsidRPr="00D61E32" w:rsidRDefault="002C4430">
            <w:pPr>
              <w:rPr>
                <w:rFonts w:ascii="Century Gothic" w:hAnsi="Century Gothic" w:cs="Arial"/>
                <w:iCs/>
              </w:rPr>
            </w:pPr>
            <w:r w:rsidRPr="00D61E32">
              <w:rPr>
                <w:rFonts w:ascii="Century Gothic" w:hAnsi="Century Gothic" w:cs="Arial"/>
                <w:iCs/>
              </w:rPr>
              <w:t xml:space="preserve">Wellfleet has the same policy and procedure for R&amp;C payment of out-of-network claims for inpatient M/S and MH/SUD providers. There is no difference as written for R&amp;C payment. In addition, Wellfleet applies a process to obtain discounted rates for M/S services through Zelis, but this process is not done for MH/SUD services and thus, MH/SUD services are treated less stringently. Therefore, </w:t>
            </w:r>
            <w:r w:rsidRPr="00D61E32">
              <w:rPr>
                <w:rFonts w:ascii="Century Gothic" w:hAnsi="Century Gothic" w:cs="Arial"/>
                <w:i/>
              </w:rPr>
              <w:t>in writing</w:t>
            </w:r>
            <w:r w:rsidRPr="00D61E32">
              <w:rPr>
                <w:rFonts w:ascii="Century Gothic" w:hAnsi="Century Gothic" w:cs="Arial"/>
                <w:iCs/>
              </w:rPr>
              <w:t xml:space="preserve">, the processes, standards, factors, and sources used to apply OON reimbursement to MH/SUD services is comparable and not more stringent than the processes, standards, factors, and sources used to apply OON reimbursement to M/S services. </w:t>
            </w:r>
          </w:p>
          <w:p w14:paraId="6498B95D" w14:textId="77777777" w:rsidR="002C4430" w:rsidRPr="00D61E32" w:rsidRDefault="002C4430">
            <w:pPr>
              <w:rPr>
                <w:rFonts w:ascii="Century Gothic" w:hAnsi="Century Gothic" w:cs="Arial"/>
                <w:iCs/>
              </w:rPr>
            </w:pPr>
            <w:r w:rsidRPr="00D61E32">
              <w:rPr>
                <w:rFonts w:ascii="Century Gothic" w:hAnsi="Century Gothic"/>
              </w:rPr>
              <w:t xml:space="preserve">The analysis of the 2023 claims reimbursement demonstrates </w:t>
            </w:r>
            <w:r w:rsidRPr="00D61E32">
              <w:rPr>
                <w:rFonts w:ascii="Century Gothic" w:hAnsi="Century Gothic" w:cs="Arial"/>
                <w:iCs/>
              </w:rPr>
              <w:t xml:space="preserve">the R&amp;C payment versus Medicare rates for the same provider types and CPT codes did not provide concerns regarding possible issues with disparities in payment between similar types of MH/SUD versus M/S providers. Moreover, as demonstrated by the bar graphs, the OON reimbursement rates as a percentage of Medicare for MH/SUD providers are comparable or higher to the OON reimbursement rates as a percentage of Medicare for </w:t>
            </w:r>
            <w:proofErr w:type="spellStart"/>
            <w:r w:rsidRPr="00D61E32">
              <w:rPr>
                <w:rFonts w:ascii="Century Gothic" w:hAnsi="Century Gothic" w:cs="Arial"/>
                <w:iCs/>
              </w:rPr>
              <w:t>MedSurg</w:t>
            </w:r>
            <w:proofErr w:type="spellEnd"/>
            <w:r w:rsidRPr="00D61E32">
              <w:rPr>
                <w:rFonts w:ascii="Century Gothic" w:hAnsi="Century Gothic" w:cs="Arial"/>
                <w:iCs/>
              </w:rPr>
              <w:t xml:space="preserve"> providers, apart from physical therapists, who are a significant outlier for specified code groups for both in-network and out-of-network reimbursement. Therefore, </w:t>
            </w:r>
            <w:r w:rsidRPr="00D61E32">
              <w:rPr>
                <w:rFonts w:ascii="Century Gothic" w:hAnsi="Century Gothic" w:cs="Arial"/>
                <w:i/>
              </w:rPr>
              <w:t>in operation</w:t>
            </w:r>
            <w:r w:rsidRPr="00D61E32">
              <w:rPr>
                <w:rFonts w:ascii="Century Gothic" w:hAnsi="Century Gothic" w:cs="Arial"/>
                <w:iCs/>
              </w:rPr>
              <w:t>, the processes, standards, factors, and sources used to apply OON reimbursement to MH/SUD services is comparable and not more stringent than the processes, standards, factors, and sources used to apply OON reimbursement to M/S services. Wellfleet concludes that it applies R&amp;C either equally or less stringently for MH/SUD providers than it does for M/S providers.</w:t>
            </w:r>
          </w:p>
          <w:p w14:paraId="34E5C740" w14:textId="77777777" w:rsidR="002C4430" w:rsidRPr="00D61E32" w:rsidRDefault="002C4430">
            <w:pPr>
              <w:rPr>
                <w:rFonts w:ascii="Century Gothic" w:hAnsi="Century Gothic" w:cs="Arial"/>
                <w:iCs/>
              </w:rPr>
            </w:pPr>
            <w:r w:rsidRPr="00D61E32">
              <w:rPr>
                <w:rFonts w:ascii="Century Gothic" w:hAnsi="Century Gothic" w:cs="Arial"/>
                <w:b/>
                <w:bCs/>
                <w:iCs/>
              </w:rPr>
              <w:t>Conclusion and Findings</w:t>
            </w:r>
            <w:r w:rsidRPr="00D61E32">
              <w:rPr>
                <w:rFonts w:ascii="Century Gothic" w:hAnsi="Century Gothic" w:cs="Arial"/>
                <w:iCs/>
              </w:rPr>
              <w:t>: Both as written and in operation the processes, strategies, evidentiary standards, and other factors used to apply OON Reimbursement to MH/SUD benefits are comparable to, and are applied no more stringently than, the processes, strategies, evidentiary standards, and other factors used to apply OON Reimbursement to M/S benefits in the inpatient, outpatient, and emergency classifications. Therefore, the plan finds that the comparative analysis demonstrates its OON Reimbursement practices are compliant with MHPAEA.</w:t>
            </w:r>
          </w:p>
        </w:tc>
      </w:tr>
    </w:tbl>
    <w:p w14:paraId="03616372" w14:textId="77777777" w:rsidR="00C865B3" w:rsidRDefault="00C865B3" w:rsidP="00C865B3">
      <w:pPr>
        <w:pStyle w:val="ListParagraph"/>
        <w:ind w:left="0"/>
        <w:rPr>
          <w:rFonts w:ascii="Century Gothic" w:hAnsi="Century Gothic"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1079"/>
        <w:gridCol w:w="3433"/>
      </w:tblGrid>
      <w:tr w:rsidR="0094211C" w14:paraId="084A372A" w14:textId="77777777" w:rsidTr="0094211C">
        <w:trPr>
          <w:trHeight w:val="685"/>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2973BF" w14:textId="77777777" w:rsidR="0094211C" w:rsidRDefault="0094211C">
            <w:pPr>
              <w:rPr>
                <w:rFonts w:ascii="Arial" w:eastAsia="Times New Roman" w:hAnsi="Arial" w:cs="Arial"/>
                <w:b/>
                <w:bCs/>
                <w:sz w:val="44"/>
                <w:szCs w:val="44"/>
              </w:rPr>
            </w:pPr>
            <w:r>
              <w:rPr>
                <w:rFonts w:ascii="Arial" w:eastAsia="Times New Roman" w:hAnsi="Arial" w:cs="Arial"/>
                <w:b/>
                <w:bCs/>
                <w:sz w:val="36"/>
                <w:szCs w:val="44"/>
              </w:rPr>
              <w:t xml:space="preserve">NQTL: Formulary Design and Tiering  </w:t>
            </w:r>
          </w:p>
        </w:tc>
      </w:tr>
      <w:tr w:rsidR="0094211C" w14:paraId="1789BFA5" w14:textId="77777777" w:rsidTr="0094211C">
        <w:trPr>
          <w:trHeight w:val="57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2F265" w14:textId="77777777" w:rsidR="0094211C" w:rsidRDefault="0094211C">
            <w:pPr>
              <w:rPr>
                <w:rFonts w:ascii="Arial" w:eastAsia="Times New Roman" w:hAnsi="Arial" w:cs="Arial"/>
                <w:b/>
                <w:bCs/>
                <w:sz w:val="28"/>
                <w:szCs w:val="36"/>
              </w:rPr>
            </w:pPr>
            <w:r>
              <w:rPr>
                <w:rFonts w:ascii="Arial" w:eastAsia="Times New Roman" w:hAnsi="Arial" w:cs="Arial"/>
                <w:b/>
                <w:bCs/>
                <w:sz w:val="28"/>
                <w:szCs w:val="36"/>
              </w:rPr>
              <w:t xml:space="preserve">Classification(s):  Prescription Drugs </w:t>
            </w:r>
          </w:p>
        </w:tc>
      </w:tr>
      <w:tr w:rsidR="0094211C" w14:paraId="37044867" w14:textId="77777777" w:rsidTr="0094211C">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9E433" w14:textId="77777777" w:rsidR="0094211C" w:rsidRDefault="0094211C">
            <w:pPr>
              <w:rPr>
                <w:rFonts w:ascii="Arial" w:eastAsia="Times New Roman" w:hAnsi="Arial" w:cs="Arial"/>
                <w:b/>
                <w:bCs/>
              </w:rPr>
            </w:pPr>
            <w:r>
              <w:rPr>
                <w:rFonts w:ascii="Arial" w:eastAsia="Times New Roman" w:hAnsi="Arial" w:cs="Arial"/>
                <w:b/>
                <w:bCs/>
              </w:rPr>
              <w:t>Step 1 – Identify the specific plan or coverage terms or other relevant terms regarding Formulary Design and a description of all mental health or substance use disorder and medical or surgical benefits to which each such term applies in each respective benefits classification</w:t>
            </w:r>
          </w:p>
        </w:tc>
      </w:tr>
      <w:tr w:rsidR="0094211C" w14:paraId="27195B01" w14:textId="77777777" w:rsidTr="0094211C">
        <w:trPr>
          <w:trHeight w:val="1385"/>
        </w:trPr>
        <w:tc>
          <w:tcPr>
            <w:tcW w:w="5000" w:type="pct"/>
            <w:gridSpan w:val="3"/>
            <w:tcBorders>
              <w:top w:val="single" w:sz="4" w:space="0" w:color="auto"/>
              <w:left w:val="single" w:sz="4" w:space="0" w:color="auto"/>
              <w:bottom w:val="single" w:sz="4" w:space="0" w:color="auto"/>
              <w:right w:val="single" w:sz="4" w:space="0" w:color="auto"/>
            </w:tcBorders>
          </w:tcPr>
          <w:p w14:paraId="3A5A6305" w14:textId="77777777" w:rsidR="0094211C" w:rsidRDefault="0094211C">
            <w:pPr>
              <w:rPr>
                <w:rFonts w:ascii="Arial" w:eastAsia="Times New Roman" w:hAnsi="Arial" w:cs="Arial"/>
                <w:bCs/>
              </w:rPr>
            </w:pPr>
            <w:r>
              <w:rPr>
                <w:rFonts w:ascii="Arial" w:eastAsia="Times New Roman" w:hAnsi="Arial" w:cs="Arial"/>
                <w:b/>
                <w:bCs/>
                <w:i/>
              </w:rPr>
              <w:t>Provide a clear description of the specific NQTL, plan terms, and policies at issue</w:t>
            </w:r>
            <w:r>
              <w:rPr>
                <w:rFonts w:ascii="Arial" w:eastAsia="Times New Roman" w:hAnsi="Arial" w:cs="Arial"/>
                <w:bCs/>
              </w:rPr>
              <w:t>:</w:t>
            </w:r>
            <w:r>
              <w:rPr>
                <w:rStyle w:val="FootnoteReference"/>
                <w:rFonts w:ascii="Arial" w:eastAsia="Times New Roman" w:hAnsi="Arial" w:cs="Arial"/>
                <w:bCs/>
              </w:rPr>
              <w:footnoteReference w:id="48"/>
            </w:r>
            <w:r>
              <w:rPr>
                <w:rFonts w:ascii="Arial" w:eastAsia="Times New Roman" w:hAnsi="Arial" w:cs="Arial"/>
                <w:bCs/>
              </w:rPr>
              <w:t xml:space="preserve"> </w:t>
            </w:r>
          </w:p>
          <w:p w14:paraId="5E709C77" w14:textId="77777777" w:rsidR="0094211C" w:rsidRDefault="0094211C">
            <w:pPr>
              <w:rPr>
                <w:rFonts w:ascii="Arial" w:eastAsia="Times New Roman" w:hAnsi="Arial" w:cs="Arial"/>
              </w:rPr>
            </w:pPr>
            <w:r>
              <w:rPr>
                <w:rFonts w:ascii="Arial" w:eastAsia="Times New Roman" w:hAnsi="Arial" w:cs="Arial"/>
              </w:rPr>
              <w:t xml:space="preserve">Formulary Design: </w:t>
            </w:r>
            <w:r>
              <w:rPr>
                <w:rFonts w:ascii="Arial" w:hAnsi="Arial" w:cs="Arial"/>
              </w:rPr>
              <w:t xml:space="preserve">Wellfleet uses a prescription drug formulary, which is a list of medications designed to manage prescription costs without affecting the quality of care by identifying and encouraging use of the most clinically effective and cost-effective medications. Formulary design refers to </w:t>
            </w:r>
            <w:r>
              <w:rPr>
                <w:rFonts w:ascii="Arial" w:hAnsi="Arial" w:cs="Arial"/>
                <w:bCs/>
                <w:color w:val="000000"/>
              </w:rPr>
              <w:t xml:space="preserve">the process that the plan uses to develop </w:t>
            </w:r>
            <w:r>
              <w:rPr>
                <w:rFonts w:ascii="Arial" w:hAnsi="Arial" w:cs="Arial"/>
                <w:color w:val="000000"/>
              </w:rPr>
              <w:t>the approved list of drugs covered under the pharmacy benefit plan</w:t>
            </w:r>
            <w:r>
              <w:rPr>
                <w:rFonts w:ascii="Arial" w:hAnsi="Arial" w:cs="Arial"/>
              </w:rPr>
              <w:t xml:space="preserve">. This is also called formulary placement. Drugs that are not on the formulary may be covered on an exception basis if they are excluded and if medical necessity can be established based on plan-approved prior authorization criteria or applicable regulations. Please see guideline named “Excluded Formulary Drug Exception” within the prior authorization guidelines on </w:t>
            </w:r>
            <w:hyperlink r:id="rId20" w:history="1">
              <w:r>
                <w:rPr>
                  <w:rStyle w:val="Hyperlink"/>
                  <w:rFonts w:ascii="Arial" w:hAnsi="Arial" w:cs="Arial"/>
                </w:rPr>
                <w:t>www.wellfleetrx.com/students/formularies</w:t>
              </w:r>
            </w:hyperlink>
            <w:r>
              <w:rPr>
                <w:rFonts w:ascii="Arial" w:hAnsi="Arial" w:cs="Arial"/>
              </w:rPr>
              <w:t xml:space="preserve">. </w:t>
            </w:r>
          </w:p>
          <w:p w14:paraId="4F399EE2" w14:textId="77777777" w:rsidR="0094211C" w:rsidRDefault="0094211C">
            <w:pPr>
              <w:rPr>
                <w:rFonts w:ascii="Arial" w:eastAsia="Times New Roman" w:hAnsi="Arial" w:cs="Arial"/>
              </w:rPr>
            </w:pPr>
            <w:r>
              <w:rPr>
                <w:rFonts w:ascii="Arial" w:eastAsia="Times New Roman" w:hAnsi="Arial" w:cs="Arial"/>
              </w:rPr>
              <w:t xml:space="preserve">Formulary Tiering: Formulary tiering refers to the placement of </w:t>
            </w:r>
            <w:proofErr w:type="gramStart"/>
            <w:r>
              <w:rPr>
                <w:rFonts w:ascii="Arial" w:eastAsia="Times New Roman" w:hAnsi="Arial" w:cs="Arial"/>
              </w:rPr>
              <w:t>particular drug</w:t>
            </w:r>
            <w:proofErr w:type="gramEnd"/>
            <w:r>
              <w:rPr>
                <w:rFonts w:ascii="Arial" w:eastAsia="Times New Roman" w:hAnsi="Arial" w:cs="Arial"/>
              </w:rPr>
              <w:t xml:space="preserve"> products on various cost-sharing tiers, ranging from 1 to 3. </w:t>
            </w:r>
          </w:p>
          <w:p w14:paraId="397B217F" w14:textId="77777777" w:rsidR="0094211C" w:rsidRDefault="0094211C">
            <w:pPr>
              <w:rPr>
                <w:rFonts w:ascii="Arial" w:eastAsia="Times New Roman" w:hAnsi="Arial" w:cs="Arial"/>
              </w:rPr>
            </w:pPr>
            <w:r>
              <w:rPr>
                <w:rFonts w:ascii="Arial" w:eastAsia="Times New Roman" w:hAnsi="Arial" w:cs="Arial"/>
              </w:rPr>
              <w:t xml:space="preserve">Wellfleet uses the following formulary tiers: </w:t>
            </w:r>
          </w:p>
          <w:p w14:paraId="43C0CF51" w14:textId="77777777" w:rsidR="0094211C" w:rsidRDefault="0094211C" w:rsidP="0094211C">
            <w:pPr>
              <w:pStyle w:val="ListParagraph"/>
              <w:numPr>
                <w:ilvl w:val="0"/>
                <w:numId w:val="48"/>
              </w:numPr>
              <w:spacing w:after="0" w:line="240" w:lineRule="auto"/>
              <w:rPr>
                <w:rFonts w:ascii="Arial" w:eastAsia="Times New Roman" w:hAnsi="Arial" w:cs="Arial"/>
              </w:rPr>
            </w:pPr>
            <w:r>
              <w:rPr>
                <w:rFonts w:ascii="Arial" w:eastAsia="Times New Roman" w:hAnsi="Arial" w:cs="Arial"/>
              </w:rPr>
              <w:t xml:space="preserve">Tier 1 (preferred generics): Lowest copayment for select drugs that offer the greatest value compared to other drugs used to treat similar conditions. </w:t>
            </w:r>
          </w:p>
          <w:p w14:paraId="56DE2985" w14:textId="77777777" w:rsidR="0094211C" w:rsidRDefault="0094211C" w:rsidP="0094211C">
            <w:pPr>
              <w:pStyle w:val="ListParagraph"/>
              <w:numPr>
                <w:ilvl w:val="0"/>
                <w:numId w:val="48"/>
              </w:numPr>
              <w:spacing w:after="0" w:line="240" w:lineRule="auto"/>
              <w:rPr>
                <w:rFonts w:ascii="Arial" w:eastAsia="Times New Roman" w:hAnsi="Arial" w:cs="Arial"/>
              </w:rPr>
            </w:pPr>
            <w:r>
              <w:rPr>
                <w:rFonts w:ascii="Arial" w:eastAsia="Times New Roman" w:hAnsi="Arial" w:cs="Arial"/>
              </w:rPr>
              <w:t xml:space="preserve">Tier 2 (non-preferred generics and preferred brands): </w:t>
            </w:r>
            <w:r>
              <w:rPr>
                <w:rFonts w:ascii="Arial" w:eastAsia="Times New Roman" w:hAnsi="Arial" w:cs="Arial"/>
                <w:bCs/>
                <w:lang w:val="x-none"/>
              </w:rPr>
              <w:t xml:space="preserve">Medium copayment covers brand name drugs that are generally more affordable or may be preferred compared to other drugs to treat the same conditions. This </w:t>
            </w:r>
            <w:r>
              <w:rPr>
                <w:rFonts w:ascii="Arial" w:eastAsia="Times New Roman" w:hAnsi="Arial" w:cs="Arial"/>
                <w:bCs/>
              </w:rPr>
              <w:t>tier also covers non-preferred generic drugs.</w:t>
            </w:r>
          </w:p>
          <w:p w14:paraId="23EBBE04" w14:textId="77777777" w:rsidR="0094211C" w:rsidRDefault="0094211C" w:rsidP="0094211C">
            <w:pPr>
              <w:pStyle w:val="ListParagraph"/>
              <w:numPr>
                <w:ilvl w:val="0"/>
                <w:numId w:val="48"/>
              </w:numPr>
              <w:spacing w:after="0" w:line="240" w:lineRule="auto"/>
              <w:rPr>
                <w:rFonts w:ascii="Arial" w:eastAsia="Times New Roman" w:hAnsi="Arial" w:cs="Arial"/>
              </w:rPr>
            </w:pPr>
            <w:r>
              <w:rPr>
                <w:rFonts w:ascii="Arial" w:eastAsia="Times New Roman" w:hAnsi="Arial" w:cs="Arial"/>
              </w:rPr>
              <w:t xml:space="preserve">Tier 3 (non-preferred brands): High copayment covers higher cost brand name drugs. </w:t>
            </w:r>
          </w:p>
          <w:p w14:paraId="6D711AAD" w14:textId="77777777" w:rsidR="0094211C" w:rsidRDefault="0094211C">
            <w:pPr>
              <w:ind w:left="360"/>
              <w:rPr>
                <w:rFonts w:ascii="Times New Roman" w:hAnsi="Times New Roman" w:cs="Times New Roman"/>
                <w:sz w:val="24"/>
                <w:szCs w:val="24"/>
              </w:rPr>
            </w:pPr>
            <w:r>
              <w:rPr>
                <w:rFonts w:ascii="Arial" w:eastAsia="Times New Roman" w:hAnsi="Arial" w:cs="Arial"/>
              </w:rPr>
              <w:t xml:space="preserve">Specialty drugs fall under the same tiering structure but may subject to a specialty tier copay. Specialty drugs are pharmaceutical, biotech or biological drugs that are used in the management of chronic, </w:t>
            </w:r>
            <w:proofErr w:type="gramStart"/>
            <w:r>
              <w:rPr>
                <w:rFonts w:ascii="Arial" w:eastAsia="Times New Roman" w:hAnsi="Arial" w:cs="Arial"/>
              </w:rPr>
              <w:t>orphan</w:t>
            </w:r>
            <w:proofErr w:type="gramEnd"/>
            <w:r>
              <w:rPr>
                <w:rFonts w:ascii="Arial" w:eastAsia="Times New Roman" w:hAnsi="Arial" w:cs="Arial"/>
              </w:rPr>
              <w:t xml:space="preserve"> or rare diseases and have a monthly cost &gt; $670 for a 30-day supply. These injectable or non-injectable medications may possess more than one of the following attributes: Requires specialized storage, distribution, and/or handling; Frequent dosing adjustments and clinical monitoring to decrease potential for drug toxicity and improve clinical outcomes; Involves additional patient education, adherence, and/or support; May include generic or biosimilar products; and/or limited or exclusive drug distribution restrictions. These drugs are denoted on the formulary by “SP”.</w:t>
            </w:r>
          </w:p>
        </w:tc>
      </w:tr>
      <w:tr w:rsidR="0094211C" w14:paraId="2A4E9B28" w14:textId="77777777" w:rsidTr="0094211C">
        <w:trPr>
          <w:trHeight w:val="1385"/>
        </w:trPr>
        <w:tc>
          <w:tcPr>
            <w:tcW w:w="5000" w:type="pct"/>
            <w:gridSpan w:val="3"/>
            <w:tcBorders>
              <w:top w:val="single" w:sz="4" w:space="0" w:color="auto"/>
              <w:left w:val="single" w:sz="4" w:space="0" w:color="auto"/>
              <w:bottom w:val="single" w:sz="4" w:space="0" w:color="auto"/>
              <w:right w:val="single" w:sz="4" w:space="0" w:color="auto"/>
            </w:tcBorders>
          </w:tcPr>
          <w:p w14:paraId="12C50E75" w14:textId="77777777" w:rsidR="0094211C" w:rsidRDefault="0094211C">
            <w:pPr>
              <w:rPr>
                <w:rFonts w:ascii="Arial" w:eastAsia="Times New Roman" w:hAnsi="Arial" w:cs="Arial"/>
                <w:b/>
                <w:i/>
              </w:rPr>
            </w:pPr>
            <w:r>
              <w:rPr>
                <w:rFonts w:ascii="Arial" w:eastAsia="Times New Roman" w:hAnsi="Arial" w:cs="Arial"/>
                <w:b/>
                <w:i/>
              </w:rPr>
              <w:t>Identify the Plan’s formulary:</w:t>
            </w:r>
            <w:r>
              <w:rPr>
                <w:rStyle w:val="FootnoteReference"/>
                <w:rFonts w:ascii="Arial" w:eastAsia="Times New Roman" w:hAnsi="Arial" w:cs="Arial"/>
                <w:b/>
                <w:i/>
              </w:rPr>
              <w:footnoteReference w:id="49"/>
            </w:r>
          </w:p>
          <w:p w14:paraId="5A8B3A76" w14:textId="78A8F40D" w:rsidR="0094211C" w:rsidRPr="0094211C" w:rsidRDefault="0094211C">
            <w:pPr>
              <w:rPr>
                <w:rFonts w:ascii="Arial" w:eastAsia="Times New Roman" w:hAnsi="Arial" w:cs="Arial"/>
                <w:bCs/>
                <w:iCs/>
              </w:rPr>
            </w:pPr>
            <w:r>
              <w:rPr>
                <w:rFonts w:ascii="Arial" w:eastAsia="Times New Roman" w:hAnsi="Arial" w:cs="Arial"/>
                <w:bCs/>
                <w:iCs/>
              </w:rPr>
              <w:t xml:space="preserve">Please see </w:t>
            </w:r>
            <w:hyperlink r:id="rId21" w:history="1">
              <w:r>
                <w:rPr>
                  <w:rStyle w:val="Hyperlink"/>
                </w:rPr>
                <w:t>https://wellfleetrx.com/wp-content/uploads/2023/07/Wellfleet-Rx-Student-Formulary-July-2023.pdf</w:t>
              </w:r>
            </w:hyperlink>
            <w:r>
              <w:t xml:space="preserve"> </w:t>
            </w:r>
          </w:p>
        </w:tc>
      </w:tr>
      <w:tr w:rsidR="0094211C" w14:paraId="21752155" w14:textId="77777777" w:rsidTr="0094211C">
        <w:trPr>
          <w:trHeight w:val="4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322A7" w14:textId="77777777" w:rsidR="0094211C" w:rsidRDefault="0094211C">
            <w:pPr>
              <w:rPr>
                <w:rFonts w:ascii="Arial" w:eastAsia="Times New Roman" w:hAnsi="Arial" w:cs="Arial"/>
                <w:b/>
                <w:bCs/>
              </w:rPr>
            </w:pPr>
            <w:r>
              <w:rPr>
                <w:rFonts w:ascii="Arial" w:eastAsia="Times New Roman" w:hAnsi="Arial" w:cs="Arial"/>
                <w:b/>
                <w:bCs/>
              </w:rPr>
              <w:t>Step 2 – Identify the factors used to determine how the Plans designs its formulary for mental health or substance use disorder and medical/ surgical drugs</w:t>
            </w:r>
            <w:r>
              <w:rPr>
                <w:rStyle w:val="FootnoteReference"/>
                <w:rFonts w:ascii="Arial" w:eastAsia="Times New Roman" w:hAnsi="Arial" w:cs="Arial"/>
                <w:b/>
                <w:bCs/>
              </w:rPr>
              <w:footnoteReference w:id="50"/>
            </w:r>
          </w:p>
        </w:tc>
      </w:tr>
      <w:tr w:rsidR="0094211C" w14:paraId="52F81F8B" w14:textId="77777777" w:rsidTr="0094211C">
        <w:trPr>
          <w:trHeight w:val="1430"/>
        </w:trPr>
        <w:tc>
          <w:tcPr>
            <w:tcW w:w="3164" w:type="pct"/>
            <w:gridSpan w:val="2"/>
            <w:tcBorders>
              <w:top w:val="single" w:sz="4" w:space="0" w:color="auto"/>
              <w:left w:val="single" w:sz="4" w:space="0" w:color="auto"/>
              <w:bottom w:val="single" w:sz="4" w:space="0" w:color="auto"/>
              <w:right w:val="single" w:sz="4" w:space="0" w:color="auto"/>
            </w:tcBorders>
          </w:tcPr>
          <w:p w14:paraId="258C8A5B" w14:textId="77777777" w:rsidR="0094211C" w:rsidRDefault="0094211C">
            <w:pPr>
              <w:rPr>
                <w:rFonts w:ascii="Arial" w:eastAsia="Times New Roman" w:hAnsi="Arial" w:cs="Arial"/>
              </w:rPr>
            </w:pPr>
            <w:r>
              <w:rPr>
                <w:rFonts w:ascii="Arial" w:eastAsia="Times New Roman" w:hAnsi="Arial" w:cs="Arial"/>
                <w:b/>
              </w:rPr>
              <w:t>Medical/Surgical</w:t>
            </w:r>
            <w:r>
              <w:rPr>
                <w:rFonts w:ascii="Arial" w:eastAsia="Times New Roman" w:hAnsi="Arial" w:cs="Arial"/>
              </w:rPr>
              <w:t>:</w:t>
            </w:r>
          </w:p>
          <w:p w14:paraId="1029AC03" w14:textId="77777777" w:rsidR="0094211C" w:rsidRDefault="0094211C">
            <w:pPr>
              <w:rPr>
                <w:rFonts w:ascii="Arial" w:eastAsia="Times New Roman" w:hAnsi="Arial" w:cs="Arial"/>
              </w:rPr>
            </w:pPr>
            <w:r>
              <w:rPr>
                <w:rFonts w:ascii="Arial" w:eastAsia="Times New Roman" w:hAnsi="Arial" w:cs="Arial"/>
              </w:rPr>
              <w:t>Factors for determining formulary placement and tiering include:</w:t>
            </w:r>
          </w:p>
          <w:p w14:paraId="29B8B4DA" w14:textId="77777777" w:rsidR="0094211C" w:rsidRDefault="0094211C" w:rsidP="0094211C">
            <w:pPr>
              <w:pStyle w:val="ListParagraph"/>
              <w:numPr>
                <w:ilvl w:val="0"/>
                <w:numId w:val="49"/>
              </w:numPr>
              <w:spacing w:after="0" w:line="240" w:lineRule="auto"/>
              <w:rPr>
                <w:rFonts w:ascii="Arial" w:eastAsia="Times New Roman" w:hAnsi="Arial" w:cs="Arial"/>
              </w:rPr>
            </w:pPr>
            <w:r>
              <w:rPr>
                <w:rFonts w:ascii="Arial" w:eastAsia="Times New Roman" w:hAnsi="Arial" w:cs="Arial"/>
              </w:rPr>
              <w:t>Availability of Cost-Effective alternatives</w:t>
            </w:r>
          </w:p>
          <w:p w14:paraId="2DFEC6CB" w14:textId="77777777" w:rsidR="0094211C" w:rsidRDefault="0094211C" w:rsidP="0094211C">
            <w:pPr>
              <w:pStyle w:val="ListParagraph"/>
              <w:numPr>
                <w:ilvl w:val="0"/>
                <w:numId w:val="49"/>
              </w:numPr>
              <w:spacing w:after="0" w:line="240" w:lineRule="auto"/>
              <w:rPr>
                <w:rFonts w:ascii="Arial" w:eastAsia="Times New Roman" w:hAnsi="Arial" w:cs="Arial"/>
              </w:rPr>
            </w:pPr>
            <w:r>
              <w:rPr>
                <w:rFonts w:ascii="Arial" w:eastAsia="Times New Roman" w:hAnsi="Arial" w:cs="Arial"/>
              </w:rPr>
              <w:t xml:space="preserve">High variability in cost within drugs in a given therapeutic </w:t>
            </w:r>
            <w:proofErr w:type="gramStart"/>
            <w:r>
              <w:rPr>
                <w:rFonts w:ascii="Arial" w:eastAsia="Times New Roman" w:hAnsi="Arial" w:cs="Arial"/>
              </w:rPr>
              <w:t>class</w:t>
            </w:r>
            <w:proofErr w:type="gramEnd"/>
          </w:p>
          <w:p w14:paraId="221D2B0C" w14:textId="77777777" w:rsidR="0094211C" w:rsidRDefault="0094211C" w:rsidP="0094211C">
            <w:pPr>
              <w:pStyle w:val="ListParagraph"/>
              <w:numPr>
                <w:ilvl w:val="0"/>
                <w:numId w:val="49"/>
              </w:numPr>
              <w:spacing w:after="0" w:line="240" w:lineRule="auto"/>
              <w:rPr>
                <w:rFonts w:ascii="Arial" w:eastAsia="Times New Roman" w:hAnsi="Arial" w:cs="Arial"/>
              </w:rPr>
            </w:pPr>
            <w:r>
              <w:rPr>
                <w:rFonts w:ascii="Arial" w:eastAsia="Times New Roman" w:hAnsi="Arial" w:cs="Arial"/>
              </w:rPr>
              <w:t xml:space="preserve">Member Impact (this factor is used only to determine when a negative shift in formulary placement or tiering should be applied) </w:t>
            </w:r>
          </w:p>
          <w:p w14:paraId="7D66A41C" w14:textId="77777777" w:rsidR="0094211C" w:rsidRDefault="0094211C">
            <w:pPr>
              <w:rPr>
                <w:rFonts w:ascii="Arial" w:eastAsia="Times New Roman" w:hAnsi="Arial" w:cs="Arial"/>
              </w:rPr>
            </w:pPr>
          </w:p>
        </w:tc>
        <w:tc>
          <w:tcPr>
            <w:tcW w:w="1836" w:type="pct"/>
            <w:tcBorders>
              <w:top w:val="single" w:sz="4" w:space="0" w:color="auto"/>
              <w:left w:val="single" w:sz="4" w:space="0" w:color="auto"/>
              <w:bottom w:val="single" w:sz="4" w:space="0" w:color="auto"/>
              <w:right w:val="single" w:sz="4" w:space="0" w:color="auto"/>
            </w:tcBorders>
          </w:tcPr>
          <w:p w14:paraId="65B2B66A" w14:textId="77777777" w:rsidR="0094211C" w:rsidRDefault="0094211C">
            <w:pPr>
              <w:rPr>
                <w:rFonts w:ascii="Arial" w:eastAsia="Times New Roman" w:hAnsi="Arial" w:cs="Arial"/>
              </w:rPr>
            </w:pPr>
            <w:r>
              <w:rPr>
                <w:rFonts w:ascii="Arial" w:eastAsia="Times New Roman" w:hAnsi="Arial" w:cs="Arial"/>
                <w:b/>
              </w:rPr>
              <w:t>MH/SUD</w:t>
            </w:r>
            <w:r>
              <w:rPr>
                <w:rFonts w:ascii="Arial" w:eastAsia="Times New Roman" w:hAnsi="Arial" w:cs="Arial"/>
              </w:rPr>
              <w:t>:</w:t>
            </w:r>
          </w:p>
          <w:p w14:paraId="4CB6D347" w14:textId="77777777" w:rsidR="0094211C" w:rsidRDefault="0094211C">
            <w:pPr>
              <w:rPr>
                <w:rFonts w:ascii="Arial" w:eastAsia="Times New Roman" w:hAnsi="Arial" w:cs="Arial"/>
              </w:rPr>
            </w:pPr>
            <w:r>
              <w:rPr>
                <w:rFonts w:ascii="Arial" w:eastAsia="Times New Roman" w:hAnsi="Arial" w:cs="Arial"/>
              </w:rPr>
              <w:t>Factors for determining formulary placement and tiering include:</w:t>
            </w:r>
          </w:p>
          <w:p w14:paraId="1CD43412" w14:textId="77777777" w:rsidR="0094211C" w:rsidRDefault="0094211C">
            <w:pPr>
              <w:rPr>
                <w:rFonts w:ascii="Arial" w:eastAsia="Times New Roman" w:hAnsi="Arial" w:cs="Arial"/>
              </w:rPr>
            </w:pPr>
          </w:p>
          <w:p w14:paraId="13DE51E3" w14:textId="77777777" w:rsidR="0094211C" w:rsidRDefault="0094211C">
            <w:pPr>
              <w:rPr>
                <w:rFonts w:ascii="Arial" w:eastAsia="Times New Roman" w:hAnsi="Arial" w:cs="Arial"/>
              </w:rPr>
            </w:pPr>
            <w:r>
              <w:rPr>
                <w:rFonts w:ascii="Arial" w:eastAsia="Times New Roman" w:hAnsi="Arial" w:cs="Arial"/>
              </w:rPr>
              <w:t>Same as M/S</w:t>
            </w:r>
          </w:p>
        </w:tc>
      </w:tr>
      <w:tr w:rsidR="0094211C" w14:paraId="6EF0B2F7" w14:textId="77777777" w:rsidTr="0094211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DF0C89" w14:textId="77777777" w:rsidR="0094211C" w:rsidRDefault="0094211C">
            <w:pPr>
              <w:rPr>
                <w:rFonts w:ascii="Arial" w:eastAsia="Times New Roman" w:hAnsi="Arial" w:cs="Arial"/>
                <w:b/>
                <w:bCs/>
              </w:rPr>
            </w:pPr>
            <w:r>
              <w:rPr>
                <w:rFonts w:ascii="Arial" w:eastAsia="Times New Roman" w:hAnsi="Arial" w:cs="Arial"/>
                <w:b/>
                <w:bCs/>
              </w:rPr>
              <w:t>Step 3 – Identify the evidentiary standards used for the factors identified in Step 2, when applicable, provided that every factor shall be defined, and any other source or evidence relied upon to design and apply Formulary Design   to mental health or substance use disorder benefits and medical or surgical benefits.</w:t>
            </w:r>
          </w:p>
        </w:tc>
      </w:tr>
      <w:tr w:rsidR="0094211C" w14:paraId="28B3A317" w14:textId="77777777" w:rsidTr="0094211C">
        <w:trPr>
          <w:trHeight w:val="1720"/>
        </w:trPr>
        <w:tc>
          <w:tcPr>
            <w:tcW w:w="3164" w:type="pct"/>
            <w:gridSpan w:val="2"/>
            <w:tcBorders>
              <w:top w:val="single" w:sz="4" w:space="0" w:color="auto"/>
              <w:left w:val="single" w:sz="4" w:space="0" w:color="auto"/>
              <w:bottom w:val="single" w:sz="4" w:space="0" w:color="auto"/>
              <w:right w:val="single" w:sz="4" w:space="0" w:color="auto"/>
            </w:tcBorders>
          </w:tcPr>
          <w:p w14:paraId="230EADB6" w14:textId="77777777" w:rsidR="0094211C" w:rsidRDefault="0094211C">
            <w:pPr>
              <w:rPr>
                <w:rFonts w:ascii="Arial" w:eastAsia="Times New Roman" w:hAnsi="Arial" w:cs="Arial"/>
              </w:rPr>
            </w:pPr>
            <w:r>
              <w:rPr>
                <w:rFonts w:ascii="Arial" w:eastAsia="Times New Roman" w:hAnsi="Arial" w:cs="Arial"/>
                <w:b/>
              </w:rPr>
              <w:t>Medical/Surgical</w:t>
            </w:r>
            <w:r>
              <w:rPr>
                <w:rFonts w:ascii="Arial" w:eastAsia="Times New Roman" w:hAnsi="Arial" w:cs="Arial"/>
              </w:rPr>
              <w:t>:</w:t>
            </w:r>
          </w:p>
          <w:p w14:paraId="584252DA" w14:textId="77777777" w:rsidR="0094211C" w:rsidRDefault="0094211C" w:rsidP="0094211C">
            <w:pPr>
              <w:pStyle w:val="ListParagraph"/>
              <w:numPr>
                <w:ilvl w:val="0"/>
                <w:numId w:val="50"/>
              </w:numPr>
              <w:spacing w:after="0" w:line="240" w:lineRule="auto"/>
              <w:rPr>
                <w:rFonts w:ascii="Arial" w:eastAsia="Times New Roman" w:hAnsi="Arial" w:cs="Arial"/>
              </w:rPr>
            </w:pPr>
            <w:r>
              <w:rPr>
                <w:rFonts w:ascii="Arial" w:eastAsia="Times New Roman" w:hAnsi="Arial" w:cs="Arial"/>
              </w:rPr>
              <w:t>Factor 1: Availability of Cost-Effective alternatives</w:t>
            </w:r>
          </w:p>
          <w:p w14:paraId="037168AA" w14:textId="77777777" w:rsidR="0094211C" w:rsidRDefault="0094211C" w:rsidP="0094211C">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Source</w:t>
            </w:r>
            <w:r>
              <w:rPr>
                <w:rFonts w:ascii="Arial" w:eastAsia="Times New Roman" w:hAnsi="Arial" w:cs="Arial"/>
              </w:rPr>
              <w:t>: First Databank (FDB), FDA Prescribing Information, professionally recognized treatment guidelines, peer-reviewed medical literature</w:t>
            </w:r>
          </w:p>
          <w:p w14:paraId="30C8F1B7" w14:textId="77777777" w:rsidR="0094211C" w:rsidRDefault="0094211C" w:rsidP="0094211C">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Evidentiary</w:t>
            </w:r>
            <w:r>
              <w:rPr>
                <w:rFonts w:ascii="Arial" w:eastAsia="Times New Roman" w:hAnsi="Arial" w:cs="Arial"/>
              </w:rPr>
              <w:t xml:space="preserve"> </w:t>
            </w:r>
            <w:r>
              <w:rPr>
                <w:rFonts w:ascii="Arial" w:eastAsia="Times New Roman" w:hAnsi="Arial" w:cs="Arial"/>
                <w:b/>
                <w:bCs/>
              </w:rPr>
              <w:t>Standard</w:t>
            </w:r>
            <w:r>
              <w:rPr>
                <w:rFonts w:ascii="Arial" w:eastAsia="Times New Roman" w:hAnsi="Arial" w:cs="Arial"/>
              </w:rPr>
              <w:t xml:space="preserve">: Availability of alternate therapies (brand/generic). This is determined through discussions at P&amp;T Committee meetings, that are based on therapeutic class reviews and new drug reviews. These are created using the sources above by Wellfleet’s Clinical Pharmacist. These reviews contain information on indications, dosing &amp; administration, clinical and comparative efficacy, clinical guidelines, contraindications &amp; special populations, etc. The P&amp;T Committee reviews clinical guidelines and nationally accepted standards of care to assess whether recommended alternative therapies exist. </w:t>
            </w:r>
            <w:r>
              <w:rPr>
                <w:rFonts w:ascii="Arial" w:hAnsi="Arial" w:cs="Arial"/>
                <w:szCs w:val="20"/>
              </w:rPr>
              <w:t xml:space="preserve">The P&amp;T Committee discussions may determine that two or more drugs are expected to achieve clinically equivalent therapeutic outcomes. </w:t>
            </w:r>
            <w:r>
              <w:rPr>
                <w:rFonts w:ascii="Arial" w:eastAsia="Times New Roman" w:hAnsi="Arial" w:cs="Arial"/>
              </w:rPr>
              <w:t>These discussions, along with the other factors listed in this section, guide the recommendations that are brought to the Value Assessment Committee for final determination on formulary status and tiering.</w:t>
            </w:r>
            <w:r>
              <w:rPr>
                <w:rFonts w:ascii="Arial" w:hAnsi="Arial" w:cs="Arial"/>
                <w:szCs w:val="20"/>
              </w:rPr>
              <w:t xml:space="preserve"> </w:t>
            </w:r>
          </w:p>
          <w:p w14:paraId="27EDB68C" w14:textId="77777777" w:rsidR="0094211C" w:rsidRDefault="0094211C" w:rsidP="0094211C">
            <w:pPr>
              <w:pStyle w:val="ListParagraph"/>
              <w:numPr>
                <w:ilvl w:val="0"/>
                <w:numId w:val="50"/>
              </w:numPr>
              <w:spacing w:after="0" w:line="240" w:lineRule="auto"/>
              <w:rPr>
                <w:rFonts w:ascii="Arial" w:eastAsia="Times New Roman" w:hAnsi="Arial" w:cs="Arial"/>
              </w:rPr>
            </w:pPr>
            <w:r>
              <w:rPr>
                <w:rFonts w:ascii="Arial" w:eastAsia="Times New Roman" w:hAnsi="Arial" w:cs="Arial"/>
              </w:rPr>
              <w:t xml:space="preserve">Factor 2: High variability in cost within drugs in a given therapeutic </w:t>
            </w:r>
            <w:proofErr w:type="gramStart"/>
            <w:r>
              <w:rPr>
                <w:rFonts w:ascii="Arial" w:eastAsia="Times New Roman" w:hAnsi="Arial" w:cs="Arial"/>
              </w:rPr>
              <w:t>class</w:t>
            </w:r>
            <w:proofErr w:type="gramEnd"/>
          </w:p>
          <w:p w14:paraId="6580F41F" w14:textId="77777777" w:rsidR="0094211C" w:rsidRDefault="0094211C" w:rsidP="0094211C">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Source</w:t>
            </w:r>
            <w:r>
              <w:rPr>
                <w:rFonts w:ascii="Arial" w:eastAsia="Times New Roman" w:hAnsi="Arial" w:cs="Arial"/>
              </w:rPr>
              <w:t>: First Databank (FDB), internal market and competitive analysis, therapeutic class total net cost analysis.</w:t>
            </w:r>
          </w:p>
          <w:p w14:paraId="1F222C3F" w14:textId="77777777" w:rsidR="0094211C" w:rsidRDefault="0094211C" w:rsidP="0094211C">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Evidentiary</w:t>
            </w:r>
            <w:r>
              <w:rPr>
                <w:rFonts w:ascii="Arial" w:eastAsia="Times New Roman" w:hAnsi="Arial" w:cs="Arial"/>
              </w:rPr>
              <w:t xml:space="preserve"> </w:t>
            </w:r>
            <w:r>
              <w:rPr>
                <w:rFonts w:ascii="Arial" w:eastAsia="Times New Roman" w:hAnsi="Arial" w:cs="Arial"/>
                <w:b/>
                <w:bCs/>
              </w:rPr>
              <w:t>Standard</w:t>
            </w:r>
            <w:r>
              <w:rPr>
                <w:rFonts w:ascii="Arial" w:eastAsia="Times New Roman" w:hAnsi="Arial" w:cs="Arial"/>
              </w:rPr>
              <w:t xml:space="preserve">: High cost is defined as anything over $670/month supply. Also </w:t>
            </w:r>
            <w:proofErr w:type="gramStart"/>
            <w:r>
              <w:rPr>
                <w:rFonts w:ascii="Arial" w:eastAsia="Times New Roman" w:hAnsi="Arial" w:cs="Arial"/>
              </w:rPr>
              <w:t>taken into account</w:t>
            </w:r>
            <w:proofErr w:type="gramEnd"/>
            <w:r>
              <w:rPr>
                <w:rFonts w:ascii="Arial" w:eastAsia="Times New Roman" w:hAnsi="Arial" w:cs="Arial"/>
              </w:rPr>
              <w:t xml:space="preserve"> are the availability of alternate therapies (brand/generic) &amp; lowest total net cost for course of therapy for given conditions. If the drug is considered to have a high variability in cost, the VAC makes a recommendation </w:t>
            </w:r>
            <w:r>
              <w:rPr>
                <w:rFonts w:ascii="Arial" w:hAnsi="Arial" w:cs="Arial"/>
                <w:szCs w:val="20"/>
              </w:rPr>
              <w:t xml:space="preserve">for assignment to preferred or non-preferred tiers based on its evaluation of comparative net cost, comparing to other drugs in those tiers. </w:t>
            </w:r>
          </w:p>
          <w:p w14:paraId="7D081E56" w14:textId="77777777" w:rsidR="0094211C" w:rsidRDefault="0094211C" w:rsidP="0094211C">
            <w:pPr>
              <w:pStyle w:val="ListParagraph"/>
              <w:numPr>
                <w:ilvl w:val="0"/>
                <w:numId w:val="50"/>
              </w:numPr>
              <w:spacing w:after="0" w:line="240" w:lineRule="auto"/>
              <w:rPr>
                <w:rFonts w:ascii="Arial" w:eastAsia="Times New Roman" w:hAnsi="Arial" w:cs="Arial"/>
              </w:rPr>
            </w:pPr>
            <w:r>
              <w:rPr>
                <w:rFonts w:ascii="Arial" w:eastAsia="Times New Roman" w:hAnsi="Arial" w:cs="Arial"/>
              </w:rPr>
              <w:t>Factor 3: Member Impact (this factor is used only to determine when a negative shift in formulary placement or tiering should be applied)</w:t>
            </w:r>
          </w:p>
          <w:p w14:paraId="3B80C4F3" w14:textId="77777777" w:rsidR="0094211C" w:rsidRDefault="0094211C" w:rsidP="0094211C">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Source</w:t>
            </w:r>
            <w:r>
              <w:rPr>
                <w:rFonts w:ascii="Arial" w:eastAsia="Times New Roman" w:hAnsi="Arial" w:cs="Arial"/>
              </w:rPr>
              <w:t xml:space="preserve">: Internal claims data, internal </w:t>
            </w:r>
            <w:proofErr w:type="gramStart"/>
            <w:r>
              <w:rPr>
                <w:rFonts w:ascii="Arial" w:eastAsia="Times New Roman" w:hAnsi="Arial" w:cs="Arial"/>
              </w:rPr>
              <w:t>market</w:t>
            </w:r>
            <w:proofErr w:type="gramEnd"/>
            <w:r>
              <w:rPr>
                <w:rFonts w:ascii="Arial" w:eastAsia="Times New Roman" w:hAnsi="Arial" w:cs="Arial"/>
              </w:rPr>
              <w:t xml:space="preserve"> and competitive analysis</w:t>
            </w:r>
          </w:p>
          <w:p w14:paraId="561073EB" w14:textId="77777777" w:rsidR="0094211C" w:rsidRDefault="0094211C" w:rsidP="0094211C">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Evidentiary</w:t>
            </w:r>
            <w:r>
              <w:rPr>
                <w:rFonts w:ascii="Arial" w:eastAsia="Times New Roman" w:hAnsi="Arial" w:cs="Arial"/>
              </w:rPr>
              <w:t xml:space="preserve"> </w:t>
            </w:r>
            <w:r>
              <w:rPr>
                <w:rFonts w:ascii="Arial" w:eastAsia="Times New Roman" w:hAnsi="Arial" w:cs="Arial"/>
                <w:b/>
                <w:bCs/>
              </w:rPr>
              <w:t>Standard</w:t>
            </w:r>
            <w:r>
              <w:rPr>
                <w:rFonts w:ascii="Arial" w:eastAsia="Times New Roman" w:hAnsi="Arial" w:cs="Arial"/>
              </w:rPr>
              <w:t xml:space="preserve">: The number of members that will be negatively impacted by either removing a drug product from formulary or shifting from ‘preferred’ tier to ‘non-preferred’. This is only </w:t>
            </w:r>
            <w:proofErr w:type="gramStart"/>
            <w:r>
              <w:rPr>
                <w:rFonts w:ascii="Arial" w:eastAsia="Times New Roman" w:hAnsi="Arial" w:cs="Arial"/>
              </w:rPr>
              <w:t>taken into account</w:t>
            </w:r>
            <w:proofErr w:type="gramEnd"/>
            <w:r>
              <w:rPr>
                <w:rFonts w:ascii="Arial" w:eastAsia="Times New Roman" w:hAnsi="Arial" w:cs="Arial"/>
              </w:rPr>
              <w:t xml:space="preserve"> to decide </w:t>
            </w:r>
            <w:r>
              <w:rPr>
                <w:rFonts w:ascii="Arial" w:eastAsia="Times New Roman" w:hAnsi="Arial" w:cs="Arial"/>
                <w:i/>
                <w:iCs/>
              </w:rPr>
              <w:t>not</w:t>
            </w:r>
            <w:r>
              <w:rPr>
                <w:rFonts w:ascii="Arial" w:eastAsia="Times New Roman" w:hAnsi="Arial" w:cs="Arial"/>
              </w:rPr>
              <w:t xml:space="preserve"> to apply a negative shift for members. If both factors 1 &amp; 2 suggest removing a drug product from formulary or shifting from ‘preferred’ tier to ‘non-preferred’, but there would be a large member impact, we would put the interest of our members first and not make changes.</w:t>
            </w:r>
          </w:p>
          <w:p w14:paraId="503BEFD0" w14:textId="77777777" w:rsidR="0094211C" w:rsidRDefault="0094211C">
            <w:pPr>
              <w:rPr>
                <w:rFonts w:ascii="Arial" w:eastAsia="Times New Roman" w:hAnsi="Arial" w:cs="Arial"/>
              </w:rPr>
            </w:pPr>
          </w:p>
          <w:p w14:paraId="266BD88E" w14:textId="77777777" w:rsidR="0094211C" w:rsidRDefault="0094211C">
            <w:pPr>
              <w:rPr>
                <w:rFonts w:ascii="Arial" w:eastAsia="Times New Roman" w:hAnsi="Arial" w:cs="Arial"/>
                <w:b/>
                <w:bCs/>
                <w:i/>
                <w:iCs/>
              </w:rPr>
            </w:pPr>
            <w:r>
              <w:rPr>
                <w:rFonts w:ascii="Arial" w:eastAsia="Times New Roman" w:hAnsi="Arial" w:cs="Arial"/>
                <w:b/>
                <w:bCs/>
                <w:i/>
                <w:iCs/>
              </w:rPr>
              <w:t xml:space="preserve">Use of Factors – Formulary Design </w:t>
            </w:r>
          </w:p>
          <w:p w14:paraId="125F78D6" w14:textId="77777777" w:rsidR="0094211C" w:rsidRDefault="0094211C">
            <w:pPr>
              <w:rPr>
                <w:rFonts w:ascii="Arial" w:eastAsia="Times New Roman" w:hAnsi="Arial" w:cs="Arial"/>
              </w:rPr>
            </w:pPr>
            <w:r>
              <w:rPr>
                <w:rFonts w:ascii="Arial" w:eastAsia="Times New Roman" w:hAnsi="Arial" w:cs="Arial"/>
              </w:rPr>
              <w:t xml:space="preserve">For determining formulary design (i.e. inclusion on the formulary) the P&amp;T committee first assesses the clinical efficacy and availability of </w:t>
            </w:r>
            <w:proofErr w:type="gramStart"/>
            <w:r>
              <w:rPr>
                <w:rFonts w:ascii="Arial" w:eastAsia="Times New Roman" w:hAnsi="Arial" w:cs="Arial"/>
              </w:rPr>
              <w:t>cost effective</w:t>
            </w:r>
            <w:proofErr w:type="gramEnd"/>
            <w:r>
              <w:rPr>
                <w:rFonts w:ascii="Arial" w:eastAsia="Times New Roman" w:hAnsi="Arial" w:cs="Arial"/>
              </w:rPr>
              <w:t xml:space="preserve"> alternative as described in Factor 1. Then, the Value Assessment Committee will assess the Cost as described in Factor 2 and </w:t>
            </w:r>
            <w:proofErr w:type="gramStart"/>
            <w:r>
              <w:rPr>
                <w:rFonts w:ascii="Arial" w:eastAsia="Times New Roman" w:hAnsi="Arial" w:cs="Arial"/>
              </w:rPr>
              <w:t>makes</w:t>
            </w:r>
            <w:proofErr w:type="gramEnd"/>
            <w:r>
              <w:rPr>
                <w:rFonts w:ascii="Arial" w:eastAsia="Times New Roman" w:hAnsi="Arial" w:cs="Arial"/>
              </w:rPr>
              <w:t xml:space="preserve"> a recommendation for final determination for inclusion on the formulary. In determining whether to remove a drug from the formulary, the VAC considers Factor 3 (in light of the </w:t>
            </w:r>
            <w:proofErr w:type="gramStart"/>
            <w:r>
              <w:rPr>
                <w:rFonts w:ascii="Arial" w:eastAsia="Times New Roman" w:hAnsi="Arial" w:cs="Arial"/>
              </w:rPr>
              <w:t>committees</w:t>
            </w:r>
            <w:proofErr w:type="gramEnd"/>
            <w:r>
              <w:rPr>
                <w:rFonts w:ascii="Arial" w:eastAsia="Times New Roman" w:hAnsi="Arial" w:cs="Arial"/>
              </w:rPr>
              <w:t xml:space="preserve"> analysis of Factors 1 and 2) for final determination. </w:t>
            </w:r>
          </w:p>
          <w:p w14:paraId="73AB5486" w14:textId="77777777" w:rsidR="0094211C" w:rsidRDefault="0094211C">
            <w:pPr>
              <w:rPr>
                <w:rFonts w:ascii="Arial" w:eastAsia="Times New Roman" w:hAnsi="Arial" w:cs="Arial"/>
              </w:rPr>
            </w:pPr>
          </w:p>
          <w:p w14:paraId="0ED68E05" w14:textId="77777777" w:rsidR="0094211C" w:rsidRDefault="0094211C">
            <w:pPr>
              <w:rPr>
                <w:rFonts w:ascii="Arial" w:eastAsia="Times New Roman" w:hAnsi="Arial" w:cs="Arial"/>
                <w:b/>
                <w:bCs/>
                <w:i/>
                <w:iCs/>
              </w:rPr>
            </w:pPr>
            <w:r>
              <w:rPr>
                <w:rFonts w:ascii="Arial" w:eastAsia="Times New Roman" w:hAnsi="Arial" w:cs="Arial"/>
                <w:b/>
                <w:bCs/>
                <w:i/>
                <w:iCs/>
              </w:rPr>
              <w:t xml:space="preserve">Use of Factors – Formulary Tiering </w:t>
            </w:r>
          </w:p>
          <w:p w14:paraId="58131AAD" w14:textId="77777777" w:rsidR="0094211C" w:rsidRDefault="0094211C">
            <w:pPr>
              <w:rPr>
                <w:rFonts w:ascii="Arial" w:eastAsia="Times New Roman" w:hAnsi="Arial" w:cs="Arial"/>
                <w:u w:val="single"/>
              </w:rPr>
            </w:pPr>
            <w:r>
              <w:rPr>
                <w:rFonts w:ascii="Arial" w:eastAsia="Times New Roman" w:hAnsi="Arial" w:cs="Arial"/>
              </w:rPr>
              <w:t xml:space="preserve">For determining formulary tiering (i.e. which tier a drug is assigned to on the formulary), the P&amp;T committee assesses Factors 1 and 2 to determine where the drug should be </w:t>
            </w:r>
            <w:proofErr w:type="gramStart"/>
            <w:r>
              <w:rPr>
                <w:rFonts w:ascii="Arial" w:eastAsia="Times New Roman" w:hAnsi="Arial" w:cs="Arial"/>
              </w:rPr>
              <w:t>assigned, and</w:t>
            </w:r>
            <w:proofErr w:type="gramEnd"/>
            <w:r>
              <w:rPr>
                <w:rFonts w:ascii="Arial" w:eastAsia="Times New Roman" w:hAnsi="Arial" w:cs="Arial"/>
              </w:rPr>
              <w:t xml:space="preserve"> makes a recommendation to the Value Assessment Committee for final determination. If the committee is considering moving the drug to a higher-cost tier, then Factor 3 is considered (</w:t>
            </w:r>
            <w:proofErr w:type="gramStart"/>
            <w:r>
              <w:rPr>
                <w:rFonts w:ascii="Arial" w:eastAsia="Times New Roman" w:hAnsi="Arial" w:cs="Arial"/>
              </w:rPr>
              <w:t>in light of</w:t>
            </w:r>
            <w:proofErr w:type="gramEnd"/>
            <w:r>
              <w:rPr>
                <w:rFonts w:ascii="Arial" w:eastAsia="Times New Roman" w:hAnsi="Arial" w:cs="Arial"/>
              </w:rPr>
              <w:t xml:space="preserve"> the committee’s findings on Factors 1 and 2) to determine whether member impact cuts against assigning that particular drug to a higher cost tier. A recommendation is then made by the </w:t>
            </w:r>
            <w:proofErr w:type="spellStart"/>
            <w:r>
              <w:rPr>
                <w:rFonts w:ascii="Arial" w:eastAsia="Times New Roman" w:hAnsi="Arial" w:cs="Arial"/>
              </w:rPr>
              <w:t>the</w:t>
            </w:r>
            <w:proofErr w:type="spellEnd"/>
            <w:r>
              <w:rPr>
                <w:rFonts w:ascii="Arial" w:eastAsia="Times New Roman" w:hAnsi="Arial" w:cs="Arial"/>
              </w:rPr>
              <w:t xml:space="preserve"> Value Assessment Committee for final approval.</w:t>
            </w:r>
            <w:r>
              <w:rPr>
                <w:rFonts w:ascii="Arial" w:eastAsia="Times New Roman" w:hAnsi="Arial" w:cs="Arial"/>
                <w:u w:val="single"/>
              </w:rPr>
              <w:t xml:space="preserve"> </w:t>
            </w:r>
          </w:p>
        </w:tc>
        <w:tc>
          <w:tcPr>
            <w:tcW w:w="1836" w:type="pct"/>
            <w:tcBorders>
              <w:top w:val="single" w:sz="4" w:space="0" w:color="auto"/>
              <w:left w:val="single" w:sz="4" w:space="0" w:color="auto"/>
              <w:bottom w:val="single" w:sz="4" w:space="0" w:color="auto"/>
              <w:right w:val="single" w:sz="4" w:space="0" w:color="auto"/>
            </w:tcBorders>
          </w:tcPr>
          <w:p w14:paraId="6FF335E9" w14:textId="77777777" w:rsidR="0094211C" w:rsidRDefault="0094211C">
            <w:pPr>
              <w:rPr>
                <w:rFonts w:ascii="Arial" w:eastAsia="Times New Roman" w:hAnsi="Arial" w:cs="Arial"/>
              </w:rPr>
            </w:pPr>
            <w:r>
              <w:rPr>
                <w:rFonts w:ascii="Arial" w:eastAsia="Times New Roman" w:hAnsi="Arial" w:cs="Arial"/>
                <w:b/>
              </w:rPr>
              <w:t>MH/SUD</w:t>
            </w:r>
            <w:r>
              <w:rPr>
                <w:rFonts w:ascii="Arial" w:eastAsia="Times New Roman" w:hAnsi="Arial" w:cs="Arial"/>
              </w:rPr>
              <w:t>:</w:t>
            </w:r>
          </w:p>
          <w:p w14:paraId="17C8B12F" w14:textId="77777777" w:rsidR="0094211C" w:rsidRDefault="0094211C">
            <w:pPr>
              <w:rPr>
                <w:rFonts w:ascii="Arial" w:eastAsia="Times New Roman" w:hAnsi="Arial" w:cs="Arial"/>
              </w:rPr>
            </w:pPr>
            <w:r>
              <w:rPr>
                <w:rFonts w:ascii="Arial" w:eastAsia="Times New Roman" w:hAnsi="Arial" w:cs="Arial"/>
              </w:rPr>
              <w:t>Same as M/S</w:t>
            </w:r>
          </w:p>
          <w:p w14:paraId="09421F69" w14:textId="77777777" w:rsidR="0094211C" w:rsidRDefault="0094211C">
            <w:pPr>
              <w:rPr>
                <w:rFonts w:ascii="Arial" w:eastAsia="Times New Roman" w:hAnsi="Arial" w:cs="Arial"/>
              </w:rPr>
            </w:pPr>
          </w:p>
          <w:p w14:paraId="48BBAF9F" w14:textId="77777777" w:rsidR="0094211C" w:rsidRDefault="0094211C">
            <w:pPr>
              <w:rPr>
                <w:rFonts w:ascii="Arial" w:eastAsia="Times New Roman" w:hAnsi="Arial" w:cs="Arial"/>
              </w:rPr>
            </w:pPr>
          </w:p>
          <w:p w14:paraId="634D549B" w14:textId="77777777" w:rsidR="0094211C" w:rsidRDefault="0094211C">
            <w:pPr>
              <w:rPr>
                <w:rFonts w:ascii="Arial" w:eastAsia="Times New Roman" w:hAnsi="Arial" w:cs="Arial"/>
              </w:rPr>
            </w:pPr>
          </w:p>
        </w:tc>
      </w:tr>
      <w:tr w:rsidR="0094211C" w14:paraId="11E9DCE5" w14:textId="77777777" w:rsidTr="0094211C">
        <w:trPr>
          <w:trHeight w:val="872"/>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08A64" w14:textId="77777777" w:rsidR="0094211C" w:rsidRDefault="0094211C">
            <w:pPr>
              <w:rPr>
                <w:rFonts w:ascii="Arial" w:eastAsia="Times New Roman" w:hAnsi="Arial" w:cs="Arial"/>
                <w:bCs/>
              </w:rPr>
            </w:pPr>
            <w:r>
              <w:rPr>
                <w:rFonts w:ascii="Arial" w:eastAsia="Times New Roman" w:hAnsi="Arial"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tc>
      </w:tr>
      <w:tr w:rsidR="0094211C" w14:paraId="13DB2F38" w14:textId="77777777" w:rsidTr="0094211C">
        <w:trPr>
          <w:trHeight w:val="1720"/>
        </w:trPr>
        <w:tc>
          <w:tcPr>
            <w:tcW w:w="2587" w:type="pct"/>
            <w:tcBorders>
              <w:top w:val="single" w:sz="4" w:space="0" w:color="auto"/>
              <w:left w:val="single" w:sz="4" w:space="0" w:color="auto"/>
              <w:bottom w:val="single" w:sz="4" w:space="0" w:color="auto"/>
              <w:right w:val="single" w:sz="4" w:space="0" w:color="auto"/>
            </w:tcBorders>
          </w:tcPr>
          <w:p w14:paraId="53CC0A5E" w14:textId="77777777" w:rsidR="0094211C" w:rsidRDefault="0094211C">
            <w:pPr>
              <w:rPr>
                <w:rFonts w:ascii="Arial" w:eastAsia="Times New Roman" w:hAnsi="Arial" w:cs="Arial"/>
              </w:rPr>
            </w:pPr>
          </w:p>
          <w:p w14:paraId="55B6956F" w14:textId="77777777" w:rsidR="0094211C" w:rsidRDefault="0094211C">
            <w:pPr>
              <w:rPr>
                <w:rFonts w:ascii="Arial" w:eastAsia="Times New Roman" w:hAnsi="Arial" w:cs="Arial"/>
              </w:rPr>
            </w:pPr>
            <w:r>
              <w:rPr>
                <w:rFonts w:ascii="Arial" w:eastAsia="Times New Roman" w:hAnsi="Arial" w:cs="Arial"/>
                <w:i/>
              </w:rPr>
              <w:t>Timelines/ frequency of review</w:t>
            </w:r>
            <w:r>
              <w:rPr>
                <w:rFonts w:ascii="Arial" w:eastAsia="Times New Roman" w:hAnsi="Arial" w:cs="Arial"/>
              </w:rPr>
              <w:t>:</w:t>
            </w:r>
          </w:p>
          <w:p w14:paraId="588FA2A2"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eastAsia="Times New Roman" w:hAnsi="Arial" w:cs="Arial"/>
              </w:rPr>
              <w:t>Formulary design and tiering are analyzed semi-annually, unless otherwise prohibited by state law.</w:t>
            </w:r>
          </w:p>
          <w:p w14:paraId="195EFC7E" w14:textId="77777777" w:rsidR="0094211C" w:rsidRDefault="0094211C">
            <w:pPr>
              <w:rPr>
                <w:rFonts w:ascii="Arial" w:eastAsia="Times New Roman" w:hAnsi="Arial" w:cs="Arial"/>
              </w:rPr>
            </w:pPr>
          </w:p>
          <w:p w14:paraId="6C0926DE" w14:textId="77777777" w:rsidR="0094211C" w:rsidRDefault="0094211C">
            <w:pPr>
              <w:rPr>
                <w:rFonts w:ascii="Arial" w:eastAsia="Times New Roman" w:hAnsi="Arial" w:cs="Arial"/>
                <w:i/>
                <w:iCs/>
              </w:rPr>
            </w:pPr>
            <w:r>
              <w:rPr>
                <w:rFonts w:ascii="Arial" w:eastAsia="Times New Roman" w:hAnsi="Arial" w:cs="Arial"/>
                <w:i/>
                <w:iCs/>
              </w:rPr>
              <w:t xml:space="preserve">Formulary Tiering Designation Process: </w:t>
            </w:r>
          </w:p>
          <w:p w14:paraId="3624FC39" w14:textId="77777777" w:rsidR="0094211C" w:rsidRDefault="0094211C" w:rsidP="0094211C">
            <w:pPr>
              <w:numPr>
                <w:ilvl w:val="0"/>
                <w:numId w:val="51"/>
              </w:numPr>
              <w:spacing w:after="0" w:line="280" w:lineRule="exact"/>
              <w:rPr>
                <w:rFonts w:ascii="Arial" w:eastAsia="Times New Roman" w:hAnsi="Arial" w:cs="Arial"/>
                <w:bCs/>
              </w:rPr>
            </w:pPr>
            <w:r>
              <w:rPr>
                <w:rFonts w:ascii="Arial" w:eastAsia="Times New Roman" w:hAnsi="Arial" w:cs="Arial"/>
                <w:bCs/>
              </w:rPr>
              <w:t xml:space="preserve">The P&amp;T Committee reviews all newly approved drugs and </w:t>
            </w:r>
            <w:proofErr w:type="gramStart"/>
            <w:r>
              <w:rPr>
                <w:rFonts w:ascii="Arial" w:eastAsia="Times New Roman" w:hAnsi="Arial" w:cs="Arial"/>
                <w:bCs/>
              </w:rPr>
              <w:t>newly-approved</w:t>
            </w:r>
            <w:proofErr w:type="gramEnd"/>
            <w:r>
              <w:rPr>
                <w:rFonts w:ascii="Arial" w:eastAsia="Times New Roman" w:hAnsi="Arial" w:cs="Arial"/>
                <w:bCs/>
              </w:rPr>
              <w:t xml:space="preserve"> indications and dosage forms for formulary status and recommendations for utilization management. The P&amp;T Committee make recommendations for the final version of the formulary and related documents.</w:t>
            </w:r>
          </w:p>
          <w:p w14:paraId="43ECEE00" w14:textId="77777777" w:rsidR="0094211C" w:rsidRDefault="0094211C" w:rsidP="0094211C">
            <w:pPr>
              <w:numPr>
                <w:ilvl w:val="0"/>
                <w:numId w:val="51"/>
              </w:numPr>
              <w:spacing w:after="0" w:line="280" w:lineRule="exact"/>
              <w:rPr>
                <w:rFonts w:ascii="Arial" w:eastAsia="Times New Roman" w:hAnsi="Arial" w:cs="Arial"/>
                <w:bCs/>
              </w:rPr>
            </w:pPr>
            <w:r>
              <w:rPr>
                <w:rFonts w:ascii="Arial" w:eastAsia="Times New Roman" w:hAnsi="Arial" w:cs="Arial"/>
                <w:bCs/>
              </w:rPr>
              <w:t>The P&amp;T Committee documents are presented to the health plan Value Assessment Committee (VAC). The VAC is tasked to maintain and approve recommended changes to the formulary, drug prior authorization guidelines, and any programs/procedures that affect the utilization of drugs. For formulary decisions on drugs used to treat mental health or substance use disorders, the P&amp;T Committee utilizes appropriate experience and knowledge in treating patients with the specific disease state. The P&amp;T Committee has at least one member in the psychiatry specialty. VAC Committee meetings are held at least semi-annually. First the VAC committee reviews the P&amp;T Committee recommendation, then the VAC Committee makes a final clinical decision.</w:t>
            </w:r>
          </w:p>
          <w:p w14:paraId="737340ED" w14:textId="77777777" w:rsidR="0094211C" w:rsidRDefault="0094211C" w:rsidP="0094211C">
            <w:pPr>
              <w:numPr>
                <w:ilvl w:val="0"/>
                <w:numId w:val="51"/>
              </w:numPr>
              <w:spacing w:after="0" w:line="280" w:lineRule="exact"/>
              <w:rPr>
                <w:rFonts w:ascii="Arial" w:eastAsia="Times New Roman" w:hAnsi="Arial" w:cs="Arial"/>
                <w:bCs/>
              </w:rPr>
            </w:pPr>
            <w:r>
              <w:rPr>
                <w:rFonts w:ascii="Arial" w:eastAsia="Times New Roman" w:hAnsi="Arial" w:cs="Arial"/>
                <w:bCs/>
              </w:rPr>
              <w:t xml:space="preserve">The VAC reviews the clinical decision and evaluates financial and operational impacts to make final determinations for formulary placement. </w:t>
            </w:r>
          </w:p>
          <w:p w14:paraId="278EB684" w14:textId="77777777" w:rsidR="0094211C" w:rsidRDefault="0094211C" w:rsidP="0094211C">
            <w:pPr>
              <w:numPr>
                <w:ilvl w:val="0"/>
                <w:numId w:val="51"/>
              </w:numPr>
              <w:spacing w:after="0" w:line="280" w:lineRule="exact"/>
              <w:rPr>
                <w:rFonts w:ascii="Arial" w:eastAsia="Times New Roman" w:hAnsi="Arial" w:cs="Arial"/>
                <w:bCs/>
              </w:rPr>
            </w:pPr>
            <w:r>
              <w:rPr>
                <w:rFonts w:ascii="Arial" w:eastAsia="Times New Roman" w:hAnsi="Arial" w:cs="Arial"/>
                <w:bCs/>
              </w:rPr>
              <w:t>Finally, this final formulary placement decision is reviewed by the health plan VAC committee to confirm alignment with clinical decisions.</w:t>
            </w:r>
          </w:p>
          <w:p w14:paraId="28FCA784" w14:textId="77777777" w:rsidR="0094211C" w:rsidRDefault="0094211C">
            <w:pPr>
              <w:rPr>
                <w:rFonts w:ascii="Arial" w:eastAsia="Times New Roman" w:hAnsi="Arial" w:cs="Arial"/>
                <w:i/>
                <w:iCs/>
              </w:rPr>
            </w:pPr>
          </w:p>
          <w:p w14:paraId="7FB34A51" w14:textId="77777777" w:rsidR="0094211C" w:rsidRDefault="0094211C">
            <w:pPr>
              <w:rPr>
                <w:rFonts w:ascii="Arial" w:eastAsia="Times New Roman" w:hAnsi="Arial" w:cs="Arial"/>
                <w:i/>
                <w:iCs/>
              </w:rPr>
            </w:pPr>
          </w:p>
          <w:p w14:paraId="1C36FDB0" w14:textId="77777777" w:rsidR="0094211C" w:rsidRDefault="0094211C">
            <w:pPr>
              <w:rPr>
                <w:rFonts w:ascii="Arial" w:eastAsia="Times New Roman" w:hAnsi="Arial" w:cs="Arial"/>
                <w:i/>
                <w:iCs/>
              </w:rPr>
            </w:pPr>
            <w:r>
              <w:rPr>
                <w:rFonts w:ascii="Arial" w:eastAsia="Times New Roman" w:hAnsi="Arial" w:cs="Arial"/>
                <w:i/>
                <w:iCs/>
              </w:rPr>
              <w:t xml:space="preserve">Formulary Design Management: </w:t>
            </w:r>
          </w:p>
          <w:p w14:paraId="04AF10F3"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eastAsia="Times New Roman" w:hAnsi="Arial" w:cs="Arial"/>
              </w:rPr>
              <w:t>Tiered drug formularies involve groupings of drugs subject to different levels of cost-sharing which are referred to as Tiers. The Student Formulary is a three-tier benefit design, where the member shares the cost of prescription drug therapy at three levels of copayment. In most instances, generically available drugs will be covered under the first or lowest copay tier, branded drugs listed on the Formulary will be covered under the second copay tier, and branded drugs not on the Formulary will be covered under the third or highest copay tier.</w:t>
            </w:r>
          </w:p>
          <w:p w14:paraId="4B29DCBE" w14:textId="77777777" w:rsidR="0094211C" w:rsidRDefault="0094211C">
            <w:pPr>
              <w:rPr>
                <w:rFonts w:ascii="Arial" w:eastAsia="Times New Roman" w:hAnsi="Arial" w:cs="Arial"/>
              </w:rPr>
            </w:pPr>
          </w:p>
          <w:p w14:paraId="20065425" w14:textId="77777777" w:rsidR="0094211C" w:rsidRDefault="0094211C">
            <w:pPr>
              <w:rPr>
                <w:rFonts w:ascii="Arial" w:eastAsia="Times New Roman" w:hAnsi="Arial" w:cs="Arial"/>
                <w:i/>
                <w:iCs/>
              </w:rPr>
            </w:pPr>
            <w:r>
              <w:rPr>
                <w:rFonts w:ascii="Arial" w:eastAsia="Times New Roman" w:hAnsi="Arial" w:cs="Arial"/>
                <w:i/>
                <w:iCs/>
              </w:rPr>
              <w:t xml:space="preserve">Formulary Development &amp; Maintenance Process (Role of P&amp;T Committee): </w:t>
            </w:r>
          </w:p>
          <w:p w14:paraId="2DD6D13B"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eastAsia="Times New Roman" w:hAnsi="Arial" w:cs="Arial"/>
              </w:rPr>
              <w:t xml:space="preserve">The process, strategies, and evidentiary standards used in applying Formulary Design and tiering are the same for both MH/SUD and M/S drugs, as written.  The factors identified in Step Two and the sources identified in Step Three apply equally to MH/SUD and M/S drugs.  </w:t>
            </w:r>
          </w:p>
          <w:p w14:paraId="25258A58"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eastAsia="Times New Roman" w:hAnsi="Arial" w:cs="Arial"/>
              </w:rPr>
              <w:t xml:space="preserve">Additionally, to become members of the P&amp;T Committee, the physicians must be board certified licensed physicians or pharmacists with over 5 years of practicing in their respective fields. We use the clinical expertise of the P&amp;T Committee members along with published clinical guidelines and scientific evidence to achieve consensus </w:t>
            </w:r>
            <w:proofErr w:type="gramStart"/>
            <w:r>
              <w:rPr>
                <w:rFonts w:ascii="Arial" w:eastAsia="Times New Roman" w:hAnsi="Arial" w:cs="Arial"/>
              </w:rPr>
              <w:t>in order to</w:t>
            </w:r>
            <w:proofErr w:type="gramEnd"/>
            <w:r>
              <w:rPr>
                <w:rFonts w:ascii="Arial" w:eastAsia="Times New Roman" w:hAnsi="Arial" w:cs="Arial"/>
              </w:rPr>
              <w:t xml:space="preserve"> set Formulary recommendations.</w:t>
            </w:r>
          </w:p>
          <w:p w14:paraId="2C391781"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eastAsia="Times New Roman" w:hAnsi="Arial" w:cs="Arial"/>
              </w:rPr>
              <w:t xml:space="preserve">As written, Formulary Design processes are the same for both M/S and MH/SUD drugs.  The Formulary Management Policy is applied equally to both types of drugs and is reviewed annually for biased verbiage by the Director of Clinical Programs, Clinical Pharmacist, and Chief Medical Officer, and any updates required are made. The current formulary management policy states: </w:t>
            </w:r>
          </w:p>
          <w:p w14:paraId="254778EC" w14:textId="77777777" w:rsidR="0094211C" w:rsidRDefault="0094211C" w:rsidP="0094211C">
            <w:pPr>
              <w:pStyle w:val="ListParagraph"/>
              <w:numPr>
                <w:ilvl w:val="1"/>
                <w:numId w:val="51"/>
              </w:numPr>
              <w:spacing w:after="0" w:line="240" w:lineRule="auto"/>
              <w:rPr>
                <w:rFonts w:ascii="Arial" w:eastAsia="Times New Roman" w:hAnsi="Arial" w:cs="Arial"/>
              </w:rPr>
            </w:pPr>
            <w:r>
              <w:rPr>
                <w:rFonts w:ascii="Arial" w:eastAsia="Times New Roman" w:hAnsi="Arial" w:cs="Arial"/>
              </w:rPr>
              <w:t>“In order to comply with the Mental Health Parity and Addiction Equity Act (MHPAEA) and other applicable mental health parity laws, no aspect of the Formulary design, including tiering and UM decisions, shall be based on policies, processes, and operations that are more stringent for medications used to treat mental health conditions and substance use disorders (MH/SUD) as compared to medications used to treat medical or surgical conditions.  At least annually, Wellfleet and [P&amp;T Vendor] will complete analysis on the Non-Quantitative Treatment Limitations (NQTLs) that apply to the Formulary, which includes identifying each NQTL, identifying the factors considered in the design of the NQTLs, identifying the sources used to define the factors considered in the design of the NQTLs, and analyzing whether the processes, strategies, and evidentiary standards used in applying the NQTLs are comparable and no more stringently applied to medications used to treat MH/SUD conditions as compared to medications used to treat medical or surgical conditions, as written and in operation.”</w:t>
            </w:r>
          </w:p>
          <w:p w14:paraId="41F6AD08" w14:textId="77777777" w:rsidR="0094211C" w:rsidRDefault="0094211C">
            <w:pPr>
              <w:rPr>
                <w:rFonts w:ascii="Arial" w:eastAsia="Times New Roman" w:hAnsi="Arial" w:cs="Arial"/>
                <w:i/>
                <w:iCs/>
              </w:rPr>
            </w:pPr>
          </w:p>
          <w:p w14:paraId="2F58E7B2" w14:textId="77777777" w:rsidR="0094211C" w:rsidRDefault="0094211C">
            <w:pPr>
              <w:rPr>
                <w:rFonts w:ascii="Arial" w:eastAsia="Times New Roman" w:hAnsi="Arial" w:cs="Arial"/>
                <w:i/>
                <w:iCs/>
              </w:rPr>
            </w:pPr>
            <w:r>
              <w:rPr>
                <w:rFonts w:ascii="Arial" w:eastAsia="Times New Roman" w:hAnsi="Arial" w:cs="Arial"/>
                <w:i/>
                <w:iCs/>
              </w:rPr>
              <w:t xml:space="preserve">Role of the P&amp;T Committee and VAC Committee: </w:t>
            </w:r>
          </w:p>
          <w:p w14:paraId="00BD5EB3"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eastAsia="Times New Roman" w:hAnsi="Arial" w:cs="Arial"/>
              </w:rPr>
              <w:t>To become members of the P&amp;T Committee, the physicians must be board certified licensed physicians with over 5 years of experience in their respective fields. P&amp;T is made up of varying specialties that cover a wide range of diagnoses and care settings.</w:t>
            </w:r>
          </w:p>
          <w:p w14:paraId="7BE6B3FE"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eastAsia="Times New Roman" w:hAnsi="Arial" w:cs="Arial"/>
              </w:rPr>
              <w:t>The VAC is composed of internal leadership and key employees at Wellfleet. Membership covers the clinical &amp; pharmacy team, finance team, sales team, and member experience team.</w:t>
            </w:r>
          </w:p>
          <w:p w14:paraId="5C94159A"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eastAsia="Times New Roman" w:hAnsi="Arial" w:cs="Arial"/>
              </w:rPr>
              <w:t>The P&amp;T committee determines include/exclude/optional formulary status based upon the evidentiary standards set forth in Step 3 without regard as to whether the drug is used to treat a medical condition or a MH/SUD condition. The Value Assessment Committee (VAC), considers the value of drugs by evaluating both factors set forth in Step 3, including net cost, market share, brand and generic pipeline, drug utilization trends and cost effectiveness of clinically similar medications. Based on the recommendations of the P&amp;T Committee, the VAC decides on formulary tiering. The processes, strategies, and evidentiary standards the VAC uses in Formulary Design for MH/SUD drugs are comparable to, and not more stringently applied than, the processes, strategies, and evidentiary standards used in tiering for M/S drugs. The P&amp;T Charter and VAC charter are reviewed at least annually for parity. There is no language indicating a bias towards one classification of drugs of the other, and the same standards (as seen above) are used for both.</w:t>
            </w:r>
          </w:p>
          <w:p w14:paraId="6CDEDF13" w14:textId="77777777" w:rsidR="0094211C" w:rsidRDefault="0094211C">
            <w:pPr>
              <w:rPr>
                <w:rFonts w:ascii="Arial" w:eastAsia="Times New Roman" w:hAnsi="Arial" w:cs="Arial"/>
              </w:rPr>
            </w:pPr>
          </w:p>
        </w:tc>
        <w:tc>
          <w:tcPr>
            <w:tcW w:w="2413" w:type="pct"/>
            <w:gridSpan w:val="2"/>
            <w:tcBorders>
              <w:top w:val="single" w:sz="4" w:space="0" w:color="auto"/>
              <w:left w:val="single" w:sz="4" w:space="0" w:color="auto"/>
              <w:bottom w:val="single" w:sz="4" w:space="0" w:color="auto"/>
              <w:right w:val="single" w:sz="4" w:space="0" w:color="auto"/>
            </w:tcBorders>
          </w:tcPr>
          <w:p w14:paraId="3D20C660" w14:textId="77777777" w:rsidR="0094211C" w:rsidRDefault="0094211C">
            <w:pPr>
              <w:rPr>
                <w:rFonts w:ascii="Arial" w:eastAsia="Times New Roman" w:hAnsi="Arial" w:cs="Arial"/>
              </w:rPr>
            </w:pPr>
          </w:p>
          <w:p w14:paraId="2D672F10" w14:textId="77777777" w:rsidR="0094211C" w:rsidRDefault="0094211C">
            <w:pPr>
              <w:rPr>
                <w:rFonts w:ascii="Arial" w:eastAsia="Times New Roman" w:hAnsi="Arial" w:cs="Arial"/>
                <w:i/>
                <w:iCs/>
              </w:rPr>
            </w:pPr>
            <w:r>
              <w:rPr>
                <w:rFonts w:ascii="Arial" w:eastAsia="Times New Roman" w:hAnsi="Arial" w:cs="Arial"/>
                <w:i/>
                <w:iCs/>
              </w:rPr>
              <w:t>Same as M/S</w:t>
            </w:r>
          </w:p>
          <w:p w14:paraId="6A8538A6" w14:textId="77777777" w:rsidR="0094211C" w:rsidRDefault="0094211C">
            <w:pPr>
              <w:rPr>
                <w:rFonts w:ascii="Arial" w:eastAsia="Times New Roman" w:hAnsi="Arial" w:cs="Arial"/>
              </w:rPr>
            </w:pPr>
          </w:p>
        </w:tc>
      </w:tr>
      <w:tr w:rsidR="0094211C" w14:paraId="0E8E9A81" w14:textId="77777777" w:rsidTr="0094211C">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F34EF" w14:textId="77777777" w:rsidR="0094211C" w:rsidRDefault="0094211C">
            <w:pPr>
              <w:rPr>
                <w:rFonts w:ascii="Arial" w:eastAsia="Times New Roman" w:hAnsi="Arial" w:cs="Arial"/>
              </w:rPr>
            </w:pPr>
            <w:r>
              <w:rPr>
                <w:rFonts w:ascii="Arial" w:eastAsia="Times New Roman" w:hAnsi="Arial" w:cs="Arial"/>
                <w:b/>
                <w:i/>
              </w:rPr>
              <w:t>Step 4(b): Identify and define the factors and processes that are used to monitor and evaluate the application of Formulary Design for M/S and MHSUD benefits in operation</w:t>
            </w:r>
            <w:r>
              <w:rPr>
                <w:rFonts w:ascii="Arial" w:eastAsia="Times New Roman" w:hAnsi="Arial" w:cs="Arial"/>
              </w:rPr>
              <w:t>:</w:t>
            </w:r>
          </w:p>
        </w:tc>
      </w:tr>
      <w:tr w:rsidR="0094211C" w14:paraId="0AEAE09E" w14:textId="77777777" w:rsidTr="0094211C">
        <w:trPr>
          <w:trHeight w:val="3743"/>
        </w:trPr>
        <w:tc>
          <w:tcPr>
            <w:tcW w:w="2587" w:type="pct"/>
            <w:tcBorders>
              <w:top w:val="single" w:sz="4" w:space="0" w:color="auto"/>
              <w:left w:val="single" w:sz="4" w:space="0" w:color="auto"/>
              <w:bottom w:val="single" w:sz="4" w:space="0" w:color="auto"/>
              <w:right w:val="single" w:sz="4" w:space="0" w:color="auto"/>
            </w:tcBorders>
          </w:tcPr>
          <w:p w14:paraId="0FCA0D00" w14:textId="77777777" w:rsidR="0094211C" w:rsidRDefault="0094211C">
            <w:pPr>
              <w:rPr>
                <w:rFonts w:ascii="Arial" w:eastAsia="Times New Roman" w:hAnsi="Arial" w:cs="Arial"/>
              </w:rPr>
            </w:pPr>
          </w:p>
          <w:p w14:paraId="55616D13"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hAnsi="Arial" w:cs="Arial"/>
              </w:rPr>
              <w:t>To ensure that the processes, strategies, evidentiary standards, and other factors used in formulary design and tiering for MH/SUD drugs, in operation, are comparable to, and are applied no more stringently than, the processes, strategies, evidentiary standards, and other factors used in formulary design and tiering for M/S drugs, we completed a review of the percentage of drugs in the M/S and MH/SUD classifications that are subject to each copay tier. See table below for M/S results.</w:t>
            </w:r>
          </w:p>
          <w:p w14:paraId="15A254F6" w14:textId="77777777" w:rsidR="0094211C" w:rsidRDefault="0094211C">
            <w:pPr>
              <w:jc w:val="center"/>
              <w:rPr>
                <w:rFonts w:ascii="Arial" w:eastAsia="Times New Roman" w:hAnsi="Arial" w:cs="Arial"/>
              </w:rPr>
            </w:pPr>
          </w:p>
          <w:p w14:paraId="138D7F4E" w14:textId="77777777" w:rsidR="0094211C" w:rsidRDefault="0094211C">
            <w:pPr>
              <w:jc w:val="center"/>
              <w:rPr>
                <w:rFonts w:ascii="Arial" w:eastAsia="Times New Roman" w:hAnsi="Arial" w:cs="Arial"/>
              </w:rPr>
            </w:pPr>
          </w:p>
          <w:p w14:paraId="0FA219CB" w14:textId="125A26B1" w:rsidR="0094211C" w:rsidRDefault="0094211C">
            <w:pPr>
              <w:jc w:val="center"/>
              <w:rPr>
                <w:rFonts w:ascii="Arial" w:eastAsia="Times New Roman" w:hAnsi="Arial" w:cs="Arial"/>
              </w:rPr>
            </w:pPr>
            <w:r>
              <w:rPr>
                <w:noProof/>
              </w:rPr>
              <w:drawing>
                <wp:inline distT="0" distB="0" distL="0" distR="0" wp14:anchorId="517AEAF0" wp14:editId="00968F5A">
                  <wp:extent cx="2609850" cy="1057275"/>
                  <wp:effectExtent l="0" t="0" r="0" b="9525"/>
                  <wp:docPr id="1276369717" name="Picture 2" descr="A table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369717" name="Picture 2" descr="A table with text and numbers&#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1057275"/>
                          </a:xfrm>
                          <a:prstGeom prst="rect">
                            <a:avLst/>
                          </a:prstGeom>
                          <a:noFill/>
                          <a:ln>
                            <a:noFill/>
                          </a:ln>
                        </pic:spPr>
                      </pic:pic>
                    </a:graphicData>
                  </a:graphic>
                </wp:inline>
              </w:drawing>
            </w:r>
          </w:p>
        </w:tc>
        <w:tc>
          <w:tcPr>
            <w:tcW w:w="2413" w:type="pct"/>
            <w:gridSpan w:val="2"/>
            <w:tcBorders>
              <w:top w:val="single" w:sz="4" w:space="0" w:color="auto"/>
              <w:left w:val="single" w:sz="4" w:space="0" w:color="auto"/>
              <w:bottom w:val="single" w:sz="4" w:space="0" w:color="auto"/>
              <w:right w:val="single" w:sz="4" w:space="0" w:color="auto"/>
            </w:tcBorders>
          </w:tcPr>
          <w:p w14:paraId="58C42B9B" w14:textId="77777777" w:rsidR="0094211C" w:rsidRDefault="0094211C">
            <w:pPr>
              <w:rPr>
                <w:rFonts w:ascii="Arial" w:eastAsia="Times New Roman" w:hAnsi="Arial" w:cs="Arial"/>
              </w:rPr>
            </w:pPr>
          </w:p>
          <w:p w14:paraId="78C9AF40" w14:textId="77777777" w:rsidR="0094211C" w:rsidRDefault="0094211C" w:rsidP="0094211C">
            <w:pPr>
              <w:pStyle w:val="ListParagraph"/>
              <w:numPr>
                <w:ilvl w:val="0"/>
                <w:numId w:val="51"/>
              </w:numPr>
              <w:spacing w:after="0" w:line="240" w:lineRule="auto"/>
              <w:rPr>
                <w:rFonts w:ascii="Arial" w:eastAsia="Times New Roman" w:hAnsi="Arial" w:cs="Arial"/>
              </w:rPr>
            </w:pPr>
            <w:r>
              <w:rPr>
                <w:rFonts w:ascii="Arial" w:hAnsi="Arial" w:cs="Arial"/>
              </w:rPr>
              <w:t>To ensure that the processes, strategies, evidentiary standards, and other factors used in formulary design and tiering for MH/SUD drugs, in operation, are comparable to, and are applied no more stringently than, the processes, strategies, evidentiary standards, and other factors used in formulary design and tiering for M/S drugs, we completed a review of the percentage of drugs in the M/S and MH/SUD classifications that are subject to each copay tier. See table below for MH/SUD results.</w:t>
            </w:r>
          </w:p>
          <w:p w14:paraId="6C551133" w14:textId="77777777" w:rsidR="0094211C" w:rsidRDefault="0094211C">
            <w:pPr>
              <w:pStyle w:val="ListParagraph"/>
              <w:rPr>
                <w:rFonts w:ascii="Arial" w:eastAsia="Times New Roman" w:hAnsi="Arial" w:cs="Arial"/>
              </w:rPr>
            </w:pPr>
          </w:p>
          <w:p w14:paraId="1681C18C" w14:textId="25E47B64" w:rsidR="0094211C" w:rsidRDefault="0094211C">
            <w:pPr>
              <w:jc w:val="center"/>
              <w:rPr>
                <w:rFonts w:ascii="Arial" w:eastAsia="Times New Roman" w:hAnsi="Arial" w:cs="Arial"/>
              </w:rPr>
            </w:pPr>
            <w:r>
              <w:rPr>
                <w:noProof/>
              </w:rPr>
              <w:drawing>
                <wp:inline distT="0" distB="0" distL="0" distR="0" wp14:anchorId="7393D007" wp14:editId="295ECA4B">
                  <wp:extent cx="2686050" cy="1200150"/>
                  <wp:effectExtent l="0" t="0" r="0" b="0"/>
                  <wp:docPr id="780096387" name="Picture 1" descr="A table with numbers and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096387" name="Picture 1" descr="A table with numbers and words&#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6050" cy="1200150"/>
                          </a:xfrm>
                          <a:prstGeom prst="rect">
                            <a:avLst/>
                          </a:prstGeom>
                          <a:noFill/>
                          <a:ln>
                            <a:noFill/>
                          </a:ln>
                        </pic:spPr>
                      </pic:pic>
                    </a:graphicData>
                  </a:graphic>
                </wp:inline>
              </w:drawing>
            </w:r>
          </w:p>
        </w:tc>
      </w:tr>
      <w:tr w:rsidR="0094211C" w14:paraId="79942A58" w14:textId="77777777" w:rsidTr="0094211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7CF2F" w14:textId="77777777" w:rsidR="0094211C" w:rsidRDefault="0094211C">
            <w:pPr>
              <w:rPr>
                <w:rFonts w:ascii="Arial" w:eastAsia="Times New Roman" w:hAnsi="Arial" w:cs="Arial"/>
                <w:b/>
                <w:bCs/>
              </w:rPr>
            </w:pPr>
            <w:r>
              <w:rPr>
                <w:rFonts w:ascii="Arial" w:eastAsia="Times New Roman" w:hAnsi="Arial" w:cs="Arial"/>
                <w:b/>
                <w:bCs/>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tc>
      </w:tr>
      <w:tr w:rsidR="0094211C" w14:paraId="0036ADE1" w14:textId="77777777" w:rsidTr="0094211C">
        <w:trPr>
          <w:trHeight w:val="1988"/>
        </w:trPr>
        <w:tc>
          <w:tcPr>
            <w:tcW w:w="5000" w:type="pct"/>
            <w:gridSpan w:val="3"/>
            <w:tcBorders>
              <w:top w:val="single" w:sz="4" w:space="0" w:color="auto"/>
              <w:left w:val="single" w:sz="4" w:space="0" w:color="auto"/>
              <w:bottom w:val="single" w:sz="4" w:space="0" w:color="auto"/>
              <w:right w:val="single" w:sz="4" w:space="0" w:color="auto"/>
            </w:tcBorders>
          </w:tcPr>
          <w:p w14:paraId="44295DF1" w14:textId="77777777" w:rsidR="0094211C" w:rsidRDefault="0094211C">
            <w:pPr>
              <w:rPr>
                <w:rFonts w:ascii="Arial" w:eastAsia="Times New Roman" w:hAnsi="Arial" w:cs="Arial"/>
              </w:rPr>
            </w:pPr>
            <w:r>
              <w:rPr>
                <w:rFonts w:ascii="Arial" w:eastAsia="Times New Roman" w:hAnsi="Arial" w:cs="Arial"/>
                <w:b/>
                <w:bCs/>
              </w:rPr>
              <w:t>As written</w:t>
            </w:r>
            <w:r>
              <w:rPr>
                <w:rFonts w:ascii="Arial" w:eastAsia="Times New Roman" w:hAnsi="Arial" w:cs="Arial"/>
              </w:rPr>
              <w:t xml:space="preserve">: Wellfleet uses the same formulary tiering decision making process for M/S and MH/SUD drugs.  On a semi-annual basis, drug formulary reviews go through multiple levels of clinical review from the P&amp;T Committee initial evaluation and tiering recommendation to the VAC’s final decision.  The process is heavily clinically driven using the following factors: availability of cost-effective alternatives, high variability in cost within drugs </w:t>
            </w:r>
            <w:proofErr w:type="gramStart"/>
            <w:r>
              <w:rPr>
                <w:rFonts w:ascii="Arial" w:eastAsia="Times New Roman" w:hAnsi="Arial" w:cs="Arial"/>
              </w:rPr>
              <w:t>in a given</w:t>
            </w:r>
            <w:proofErr w:type="gramEnd"/>
            <w:r>
              <w:rPr>
                <w:rFonts w:ascii="Arial" w:eastAsia="Times New Roman" w:hAnsi="Arial" w:cs="Arial"/>
              </w:rPr>
              <w:t xml:space="preserve"> therapeutic class, and member impact. The sources used in assessing whether each factor has been met include First Databank (FDB), FDA Prescribing Information, professionally recognized treatment guidelines, peer-reviewed medical literature. Moreover, the sources and evidentiary standards used are the same regardless of the drug’s MH/SUD or M/S status. </w:t>
            </w:r>
          </w:p>
          <w:p w14:paraId="303CDED0" w14:textId="77777777" w:rsidR="0094211C" w:rsidRDefault="0094211C">
            <w:pPr>
              <w:spacing w:line="280" w:lineRule="exact"/>
              <w:rPr>
                <w:rFonts w:ascii="Arial" w:eastAsia="Times New Roman" w:hAnsi="Arial" w:cs="Arial"/>
                <w:bCs/>
              </w:rPr>
            </w:pPr>
            <w:r>
              <w:rPr>
                <w:rFonts w:ascii="Arial" w:eastAsia="Times New Roman" w:hAnsi="Arial" w:cs="Arial"/>
                <w:bCs/>
              </w:rPr>
              <w:t xml:space="preserve">Thus, we conclude that the processes, strategies, evidentiary standards, and other factors used to apply Formulary Design and Tiering to MH/SUD drugs, </w:t>
            </w:r>
            <w:r>
              <w:rPr>
                <w:rFonts w:ascii="Arial" w:eastAsia="Times New Roman" w:hAnsi="Arial" w:cs="Arial"/>
                <w:bCs/>
                <w:i/>
                <w:u w:val="single"/>
              </w:rPr>
              <w:t>as written</w:t>
            </w:r>
            <w:r>
              <w:rPr>
                <w:rFonts w:ascii="Arial" w:eastAsia="Times New Roman" w:hAnsi="Arial" w:cs="Arial"/>
                <w:bCs/>
              </w:rPr>
              <w:t>, are comparable to, and are applied no more stringently than, the processes, strategies, evidentiary standards, and other factors used to apply Formulary Design and Tiering to M/S drugs.</w:t>
            </w:r>
          </w:p>
          <w:p w14:paraId="74437A32" w14:textId="77777777" w:rsidR="0094211C" w:rsidRDefault="0094211C">
            <w:pPr>
              <w:rPr>
                <w:rFonts w:ascii="Arial" w:hAnsi="Arial" w:cs="Arial"/>
              </w:rPr>
            </w:pPr>
            <w:r>
              <w:rPr>
                <w:rFonts w:ascii="Arial" w:eastAsia="Times New Roman" w:hAnsi="Arial" w:cs="Arial"/>
                <w:b/>
                <w:bCs/>
              </w:rPr>
              <w:t>In operation:</w:t>
            </w:r>
            <w:r>
              <w:rPr>
                <w:rFonts w:ascii="Arial" w:eastAsia="Times New Roman" w:hAnsi="Arial" w:cs="Arial"/>
              </w:rPr>
              <w:t xml:space="preserve"> In operation, </w:t>
            </w:r>
            <w:r>
              <w:rPr>
                <w:rFonts w:ascii="Arial" w:hAnsi="Arial" w:cs="Arial"/>
              </w:rPr>
              <w:t>cost-sharing is applied comparably and no more stringently to MH/SUD drugs relative to M/S drugs. We evaluate stringency in operation by analyzing the distribution of M/S and MH/SUD drugs across formulary tiers to ensure that tiering placements are not disproportionately favorable to M/S drugs. Tier 1 (</w:t>
            </w:r>
            <w:r>
              <w:rPr>
                <w:rFonts w:ascii="Arial" w:eastAsia="Times New Roman" w:hAnsi="Arial" w:cs="Arial"/>
              </w:rPr>
              <w:t>preferred generics</w:t>
            </w:r>
            <w:r>
              <w:rPr>
                <w:rFonts w:ascii="Arial" w:hAnsi="Arial" w:cs="Arial"/>
              </w:rPr>
              <w:t>) includes a significantly higher percentage of MH/SUD drugs (68.80% of all formulary MH/SUD drugs) compared to M/S drugs (49.70% of all formulary M/S drugs). For Tier 2 (</w:t>
            </w:r>
            <w:r>
              <w:rPr>
                <w:rFonts w:ascii="Arial" w:eastAsia="Times New Roman" w:hAnsi="Arial" w:cs="Arial"/>
              </w:rPr>
              <w:t>non-preferred generics and preferred brands)</w:t>
            </w:r>
            <w:r>
              <w:rPr>
                <w:rFonts w:ascii="Arial" w:hAnsi="Arial" w:cs="Arial"/>
              </w:rPr>
              <w:t xml:space="preserve">, a lower percentage of formulary MH/SUD drugs are available (12.68%) compared to formulary M/S drugs (17.18%), however, the lower percentage of preferred brand MH/SUD drugs is explained by the disproportionately high rate of availability of MH/SUD generic drugs. </w:t>
            </w:r>
            <w:r>
              <w:rPr>
                <w:rFonts w:ascii="Arial" w:eastAsia="Times New Roman" w:hAnsi="Arial" w:cs="Arial"/>
              </w:rPr>
              <w:t>Tier 3 (non-preferred brands) includes a significantly lower percentage of MH/SUD drugs (18.51% of all formulary MH/SUD drugs) compared to the percentage of M/S drugs (33.12% of all formulary M/S drugs).</w:t>
            </w:r>
          </w:p>
          <w:p w14:paraId="1873842F" w14:textId="77777777" w:rsidR="0094211C" w:rsidRDefault="0094211C">
            <w:pPr>
              <w:rPr>
                <w:rFonts w:ascii="Arial" w:eastAsia="Times New Roman" w:hAnsi="Arial" w:cs="Arial"/>
                <w:bCs/>
              </w:rPr>
            </w:pPr>
            <w:proofErr w:type="gramStart"/>
            <w:r>
              <w:rPr>
                <w:rFonts w:ascii="Arial" w:eastAsia="Times New Roman" w:hAnsi="Arial" w:cs="Arial"/>
              </w:rPr>
              <w:t>Thus</w:t>
            </w:r>
            <w:proofErr w:type="gramEnd"/>
            <w:r>
              <w:rPr>
                <w:rFonts w:ascii="Arial" w:eastAsia="Times New Roman" w:hAnsi="Arial" w:cs="Arial"/>
              </w:rPr>
              <w:t xml:space="preserve"> we conclude that </w:t>
            </w:r>
            <w:r>
              <w:rPr>
                <w:rFonts w:ascii="Arial" w:eastAsia="Times New Roman" w:hAnsi="Arial" w:cs="Arial"/>
                <w:bCs/>
              </w:rPr>
              <w:t xml:space="preserve">the processes, strategies, evidentiary standards, and other factors used to apply Formulary Design and Tiering to MH/SUD drugs, </w:t>
            </w:r>
            <w:r>
              <w:rPr>
                <w:rFonts w:ascii="Arial" w:eastAsia="Times New Roman" w:hAnsi="Arial" w:cs="Arial"/>
                <w:bCs/>
                <w:i/>
                <w:u w:val="single"/>
              </w:rPr>
              <w:t>in operation</w:t>
            </w:r>
            <w:r>
              <w:rPr>
                <w:rFonts w:ascii="Arial" w:eastAsia="Times New Roman" w:hAnsi="Arial" w:cs="Arial"/>
                <w:bCs/>
              </w:rPr>
              <w:t>, are comparable to, and are applied no more stringently than, the processes, strategies, evidentiary standards, and other factors used to apply Formulary Design and Tiering to M/S drugs.</w:t>
            </w:r>
          </w:p>
          <w:p w14:paraId="55B447E3" w14:textId="77777777" w:rsidR="0094211C" w:rsidRDefault="0094211C">
            <w:pPr>
              <w:rPr>
                <w:rFonts w:ascii="Arial" w:eastAsia="Times New Roman" w:hAnsi="Arial" w:cs="Arial"/>
              </w:rPr>
            </w:pPr>
            <w:r>
              <w:rPr>
                <w:rFonts w:ascii="Arial" w:eastAsia="Times New Roman" w:hAnsi="Arial" w:cs="Arial"/>
                <w:b/>
                <w:bCs/>
              </w:rPr>
              <w:t>Conclusion</w:t>
            </w:r>
            <w:r>
              <w:rPr>
                <w:rFonts w:ascii="Arial" w:eastAsia="Times New Roman" w:hAnsi="Arial" w:cs="Arial"/>
              </w:rPr>
              <w:t xml:space="preserve">: Both as written and in operation the processes, strategies, evidentiary standards, and other factors used to apply </w:t>
            </w:r>
            <w:r>
              <w:rPr>
                <w:rFonts w:ascii="Arial" w:eastAsia="Times New Roman" w:hAnsi="Arial" w:cs="Arial"/>
                <w:bCs/>
              </w:rPr>
              <w:t xml:space="preserve">Formulary Design and Tiering </w:t>
            </w:r>
            <w:r>
              <w:rPr>
                <w:rFonts w:ascii="Arial" w:eastAsia="Times New Roman" w:hAnsi="Arial" w:cs="Arial"/>
              </w:rPr>
              <w:t xml:space="preserve">to MH/SUD benefits are comparable to, and are applied no more stringently than, the processes, strategies, evidentiary standards, and other factors used to apply </w:t>
            </w:r>
            <w:r>
              <w:rPr>
                <w:rFonts w:ascii="Arial" w:eastAsia="Times New Roman" w:hAnsi="Arial" w:cs="Arial"/>
                <w:bCs/>
              </w:rPr>
              <w:t xml:space="preserve">Formulary Design and Tiering </w:t>
            </w:r>
            <w:r>
              <w:rPr>
                <w:rFonts w:ascii="Arial" w:eastAsia="Times New Roman" w:hAnsi="Arial" w:cs="Arial"/>
              </w:rPr>
              <w:t xml:space="preserve">to M/S benefits in the prescription drug classification. Therefore, the plan finds that the comparative analysis demonstrates its </w:t>
            </w:r>
            <w:r>
              <w:rPr>
                <w:rFonts w:ascii="Arial" w:eastAsia="Times New Roman" w:hAnsi="Arial" w:cs="Arial"/>
                <w:bCs/>
              </w:rPr>
              <w:t xml:space="preserve">Formulary Design and Tiering </w:t>
            </w:r>
            <w:r>
              <w:rPr>
                <w:rFonts w:ascii="Arial" w:eastAsia="Times New Roman" w:hAnsi="Arial" w:cs="Arial"/>
              </w:rPr>
              <w:t>practices are compliant with MHPAEA.</w:t>
            </w:r>
          </w:p>
        </w:tc>
      </w:tr>
    </w:tbl>
    <w:p w14:paraId="4CB93F1E" w14:textId="77777777" w:rsidR="0094211C" w:rsidRDefault="0094211C" w:rsidP="0094211C">
      <w:pPr>
        <w:spacing w:after="240"/>
        <w:rPr>
          <w:rFonts w:ascii="Times New Roman" w:hAnsi="Times New Roman" w:cs="Times New Roman"/>
          <w:sz w:val="24"/>
          <w:szCs w:val="24"/>
        </w:rPr>
      </w:pPr>
      <w:bookmarkStart w:id="35" w:name="_Hlk117143649"/>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53F67" w14:paraId="6B67891B" w14:textId="77777777" w:rsidTr="00353F67">
        <w:trPr>
          <w:trHeight w:val="685"/>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AC4F36" w14:textId="77777777" w:rsidR="00353F67" w:rsidRDefault="00353F67">
            <w:pPr>
              <w:rPr>
                <w:rFonts w:ascii="Arial" w:eastAsia="Times New Roman" w:hAnsi="Arial" w:cs="Arial"/>
                <w:b/>
                <w:bCs/>
                <w:sz w:val="44"/>
                <w:szCs w:val="44"/>
              </w:rPr>
            </w:pPr>
            <w:r>
              <w:rPr>
                <w:rFonts w:ascii="Arial" w:eastAsia="Times New Roman" w:hAnsi="Arial" w:cs="Arial"/>
                <w:b/>
                <w:bCs/>
                <w:sz w:val="36"/>
                <w:szCs w:val="44"/>
              </w:rPr>
              <w:t xml:space="preserve">NQTL: Quantity Limits </w:t>
            </w:r>
          </w:p>
        </w:tc>
      </w:tr>
      <w:tr w:rsidR="00353F67" w14:paraId="708513B8" w14:textId="77777777" w:rsidTr="00353F67">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BD60" w14:textId="77777777" w:rsidR="00353F67" w:rsidRDefault="00353F67">
            <w:pPr>
              <w:rPr>
                <w:rFonts w:ascii="Arial" w:eastAsia="Times New Roman" w:hAnsi="Arial" w:cs="Arial"/>
                <w:b/>
                <w:bCs/>
                <w:sz w:val="28"/>
                <w:szCs w:val="36"/>
              </w:rPr>
            </w:pPr>
            <w:r>
              <w:rPr>
                <w:rFonts w:ascii="Arial" w:eastAsia="Times New Roman" w:hAnsi="Arial" w:cs="Arial"/>
                <w:b/>
                <w:bCs/>
                <w:sz w:val="28"/>
                <w:szCs w:val="36"/>
              </w:rPr>
              <w:t xml:space="preserve">Classification(s):  Prescription Drugs </w:t>
            </w:r>
          </w:p>
        </w:tc>
      </w:tr>
      <w:tr w:rsidR="00353F67" w14:paraId="3F32DD5F" w14:textId="77777777" w:rsidTr="00353F67">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25FD2" w14:textId="77777777" w:rsidR="00353F67" w:rsidRDefault="00353F67">
            <w:pPr>
              <w:rPr>
                <w:rFonts w:ascii="Arial" w:eastAsia="Times New Roman" w:hAnsi="Arial" w:cs="Arial"/>
                <w:b/>
                <w:bCs/>
              </w:rPr>
            </w:pPr>
            <w:r>
              <w:rPr>
                <w:rFonts w:ascii="Arial" w:eastAsia="Times New Roman" w:hAnsi="Arial" w:cs="Arial"/>
                <w:b/>
                <w:bCs/>
              </w:rPr>
              <w:t>Step 1 – Identify the specific plan or coverage terms or other relevant terms regarding Quantity Limits and a description of all mental health or substance use disorder and medical or surgical benefits to which each such term applies in each respective benefits classification</w:t>
            </w:r>
          </w:p>
        </w:tc>
      </w:tr>
      <w:tr w:rsidR="00353F67" w14:paraId="203A63F1" w14:textId="77777777" w:rsidTr="00353F67">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1D635670" w14:textId="77777777" w:rsidR="00353F67" w:rsidRDefault="00353F67">
            <w:pPr>
              <w:rPr>
                <w:rFonts w:ascii="Arial" w:eastAsia="Times New Roman" w:hAnsi="Arial" w:cs="Arial"/>
                <w:bCs/>
              </w:rPr>
            </w:pPr>
            <w:r>
              <w:rPr>
                <w:rFonts w:ascii="Arial" w:eastAsia="Times New Roman" w:hAnsi="Arial" w:cs="Arial"/>
                <w:b/>
                <w:bCs/>
                <w:i/>
              </w:rPr>
              <w:t>Provide a clear description of the specific NQTL, plan terms, and policies at issue</w:t>
            </w:r>
            <w:r>
              <w:rPr>
                <w:rFonts w:ascii="Arial" w:eastAsia="Times New Roman" w:hAnsi="Arial" w:cs="Arial"/>
                <w:bCs/>
              </w:rPr>
              <w:t>:</w:t>
            </w:r>
            <w:r>
              <w:rPr>
                <w:rStyle w:val="FootnoteReference"/>
                <w:rFonts w:ascii="Arial" w:eastAsia="Times New Roman" w:hAnsi="Arial" w:cs="Arial"/>
                <w:bCs/>
              </w:rPr>
              <w:footnoteReference w:id="51"/>
            </w:r>
            <w:r>
              <w:rPr>
                <w:rFonts w:ascii="Arial" w:eastAsia="Times New Roman" w:hAnsi="Arial" w:cs="Arial"/>
                <w:bCs/>
              </w:rPr>
              <w:t xml:space="preserve"> </w:t>
            </w:r>
          </w:p>
          <w:p w14:paraId="06F7C0C3" w14:textId="77777777" w:rsidR="00353F67" w:rsidRDefault="00353F67">
            <w:pPr>
              <w:rPr>
                <w:rFonts w:ascii="Arial" w:eastAsia="Times New Roman" w:hAnsi="Arial" w:cs="Arial"/>
                <w:bCs/>
              </w:rPr>
            </w:pPr>
          </w:p>
          <w:p w14:paraId="69AAA38C" w14:textId="77777777" w:rsidR="00353F67" w:rsidRDefault="00353F67">
            <w:pPr>
              <w:rPr>
                <w:rFonts w:ascii="Arial" w:eastAsia="Times New Roman" w:hAnsi="Arial" w:cs="Arial"/>
              </w:rPr>
            </w:pPr>
            <w:r>
              <w:rPr>
                <w:rFonts w:ascii="Arial" w:eastAsia="Times New Roman" w:hAnsi="Arial" w:cs="Arial"/>
              </w:rPr>
              <w:t>Quantity Limit is defined in the Wellfleet Rx Student Formulary as: “Coverage may be limited to specific quantities per prescription and/or time period.”</w:t>
            </w:r>
          </w:p>
          <w:p w14:paraId="5251203A" w14:textId="77777777" w:rsidR="00353F67" w:rsidRDefault="00353F67">
            <w:pPr>
              <w:rPr>
                <w:rFonts w:ascii="Arial" w:eastAsia="Times New Roman" w:hAnsi="Arial" w:cs="Arial"/>
              </w:rPr>
            </w:pPr>
          </w:p>
          <w:p w14:paraId="0D4E4044" w14:textId="77777777" w:rsidR="00353F67" w:rsidRDefault="00353F67">
            <w:pPr>
              <w:pStyle w:val="BodyText"/>
              <w:spacing w:before="223" w:line="264" w:lineRule="auto"/>
              <w:rPr>
                <w:rFonts w:ascii="Arial" w:eastAsiaTheme="minorHAnsi" w:hAnsi="Arial" w:cs="Arial"/>
                <w:sz w:val="22"/>
              </w:rPr>
            </w:pPr>
            <w:r>
              <w:rPr>
                <w:rFonts w:ascii="Arial" w:hAnsi="Arial" w:cs="Arial"/>
                <w:sz w:val="22"/>
              </w:rPr>
              <w:t xml:space="preserve">Quantity Limits restrict the amount dispensed per Prescription Order or Refill and/or the amount dispensed per month’s supply and are applied to ensure members receive clinically appropriate and medically necessary drugs. </w:t>
            </w:r>
          </w:p>
          <w:p w14:paraId="0E043976" w14:textId="77777777" w:rsidR="00353F67" w:rsidRDefault="00353F67">
            <w:pPr>
              <w:rPr>
                <w:rFonts w:ascii="Arial" w:eastAsia="Times New Roman" w:hAnsi="Arial" w:cs="Arial"/>
              </w:rPr>
            </w:pPr>
            <w:r>
              <w:rPr>
                <w:rFonts w:ascii="Arial" w:eastAsia="Times New Roman" w:hAnsi="Arial" w:cs="Arial"/>
              </w:rPr>
              <w:t>Wellfleet delegates the act of Utilization Review to Express Scripts (ESI), however the application of the Quantity Limit NQTL and the guidelines that drive the decisions by ESI are approved by Wellfleet’s internal Pharmacy and Therapeutics Committee (P&amp;T) and Value Assessment Committee (VAC). Quantity Limit is defined, in the Wellfleet Pharmacy and Therapeutics Committee Policy, as “Quantity Limit: A limitation on the amount dispensed per Prescription Order or Refill and/or the amount dispensed per month’s supply”.</w:t>
            </w:r>
          </w:p>
          <w:p w14:paraId="531D25A7" w14:textId="77777777" w:rsidR="00353F67" w:rsidRDefault="00353F67">
            <w:pPr>
              <w:rPr>
                <w:rFonts w:ascii="Arial" w:eastAsia="Times New Roman" w:hAnsi="Arial" w:cs="Arial"/>
              </w:rPr>
            </w:pPr>
          </w:p>
        </w:tc>
      </w:tr>
      <w:tr w:rsidR="00353F67" w14:paraId="4B1742AC" w14:textId="77777777" w:rsidTr="00353F67">
        <w:trPr>
          <w:trHeight w:val="1385"/>
        </w:trPr>
        <w:tc>
          <w:tcPr>
            <w:tcW w:w="2500" w:type="pct"/>
            <w:tcBorders>
              <w:top w:val="single" w:sz="4" w:space="0" w:color="auto"/>
              <w:left w:val="single" w:sz="4" w:space="0" w:color="auto"/>
              <w:bottom w:val="single" w:sz="4" w:space="0" w:color="auto"/>
              <w:right w:val="single" w:sz="4" w:space="0" w:color="auto"/>
            </w:tcBorders>
          </w:tcPr>
          <w:p w14:paraId="7B18DA15" w14:textId="77777777" w:rsidR="00353F67" w:rsidRDefault="00353F67">
            <w:pPr>
              <w:rPr>
                <w:rFonts w:ascii="Arial" w:eastAsia="Times New Roman" w:hAnsi="Arial" w:cs="Arial"/>
                <w:b/>
                <w:i/>
              </w:rPr>
            </w:pPr>
            <w:r>
              <w:rPr>
                <w:rFonts w:ascii="Arial" w:eastAsia="Times New Roman" w:hAnsi="Arial" w:cs="Arial"/>
                <w:b/>
                <w:i/>
              </w:rPr>
              <w:t>Identify the M/S drugs for which Quantity Limits are required:</w:t>
            </w:r>
            <w:r>
              <w:rPr>
                <w:rStyle w:val="FootnoteReference"/>
                <w:rFonts w:ascii="Arial" w:eastAsia="Times New Roman" w:hAnsi="Arial" w:cs="Arial"/>
                <w:b/>
                <w:i/>
              </w:rPr>
              <w:footnoteReference w:id="52"/>
            </w:r>
          </w:p>
          <w:p w14:paraId="0373470D" w14:textId="77777777" w:rsidR="00353F67" w:rsidRDefault="00353F67">
            <w:pPr>
              <w:rPr>
                <w:rFonts w:ascii="Arial" w:eastAsia="Times New Roman" w:hAnsi="Arial" w:cs="Arial"/>
                <w:b/>
                <w:i/>
              </w:rPr>
            </w:pPr>
          </w:p>
          <w:p w14:paraId="78797517" w14:textId="77777777" w:rsidR="00353F67" w:rsidRDefault="00353F67">
            <w:pPr>
              <w:rPr>
                <w:rFonts w:ascii="Arial" w:eastAsia="Times New Roman" w:hAnsi="Arial" w:cs="Arial"/>
              </w:rPr>
            </w:pPr>
            <w:r>
              <w:rPr>
                <w:rFonts w:ascii="Arial" w:eastAsia="Times New Roman" w:hAnsi="Arial" w:cs="Arial"/>
              </w:rPr>
              <w:t xml:space="preserve"> </w:t>
            </w:r>
          </w:p>
          <w:p w14:paraId="668DFC79" w14:textId="77777777" w:rsidR="00353F67" w:rsidRDefault="00353F67">
            <w:pPr>
              <w:rPr>
                <w:rFonts w:ascii="Arial" w:eastAsia="Times New Roman" w:hAnsi="Arial" w:cs="Arial"/>
              </w:rPr>
            </w:pPr>
            <w:r>
              <w:rPr>
                <w:rFonts w:ascii="Arial" w:eastAsia="Times New Roman" w:hAnsi="Arial" w:cs="Arial"/>
              </w:rPr>
              <w:t xml:space="preserve">Please see attached (Covered Services Attachment) which details benefits subject to </w:t>
            </w:r>
            <w:proofErr w:type="gramStart"/>
            <w:r>
              <w:rPr>
                <w:rFonts w:ascii="Arial" w:eastAsia="Times New Roman" w:hAnsi="Arial" w:cs="Arial"/>
              </w:rPr>
              <w:t>QL</w:t>
            </w:r>
            <w:proofErr w:type="gramEnd"/>
          </w:p>
          <w:p w14:paraId="701B9761" w14:textId="77777777" w:rsidR="00353F67" w:rsidRDefault="00353F67">
            <w:pPr>
              <w:rPr>
                <w:rFonts w:ascii="Arial" w:eastAsia="Times New Roman" w:hAnsi="Arial" w:cs="Arial"/>
              </w:rPr>
            </w:pPr>
          </w:p>
          <w:p w14:paraId="6D8B53E1" w14:textId="77777777" w:rsidR="00353F67" w:rsidRDefault="00353F67">
            <w:pPr>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151DD175" w14:textId="77777777" w:rsidR="00353F67" w:rsidRDefault="00353F67">
            <w:pPr>
              <w:rPr>
                <w:rFonts w:ascii="Arial" w:eastAsia="Times New Roman" w:hAnsi="Arial" w:cs="Arial"/>
              </w:rPr>
            </w:pPr>
            <w:r>
              <w:rPr>
                <w:rFonts w:ascii="Arial" w:eastAsia="Times New Roman" w:hAnsi="Arial" w:cs="Arial"/>
                <w:b/>
                <w:i/>
              </w:rPr>
              <w:t>Identify the MH/SUD drugs for which Quantity Limits are required</w:t>
            </w:r>
            <w:r>
              <w:rPr>
                <w:rFonts w:ascii="Arial" w:eastAsia="Times New Roman" w:hAnsi="Arial" w:cs="Arial"/>
              </w:rPr>
              <w:t>:</w:t>
            </w:r>
            <w:r>
              <w:rPr>
                <w:rStyle w:val="FootnoteReference"/>
                <w:rFonts w:ascii="Arial" w:eastAsia="Times New Roman" w:hAnsi="Arial" w:cs="Arial"/>
              </w:rPr>
              <w:footnoteReference w:id="53"/>
            </w:r>
          </w:p>
          <w:p w14:paraId="33F92C94" w14:textId="77777777" w:rsidR="00353F67" w:rsidRDefault="00353F67">
            <w:pPr>
              <w:rPr>
                <w:rFonts w:ascii="Arial" w:eastAsia="Times New Roman" w:hAnsi="Arial" w:cs="Arial"/>
              </w:rPr>
            </w:pPr>
          </w:p>
          <w:p w14:paraId="792FF0A5" w14:textId="77777777" w:rsidR="00353F67" w:rsidRDefault="00353F67">
            <w:pPr>
              <w:rPr>
                <w:rFonts w:ascii="Arial" w:eastAsia="Times New Roman" w:hAnsi="Arial" w:cs="Arial"/>
              </w:rPr>
            </w:pPr>
          </w:p>
          <w:p w14:paraId="3F2FE3B3" w14:textId="77777777" w:rsidR="00353F67" w:rsidRDefault="00353F67">
            <w:pPr>
              <w:rPr>
                <w:rFonts w:ascii="Arial" w:eastAsia="Times New Roman" w:hAnsi="Arial" w:cs="Arial"/>
              </w:rPr>
            </w:pPr>
            <w:r>
              <w:rPr>
                <w:rFonts w:ascii="Arial" w:eastAsia="Times New Roman" w:hAnsi="Arial" w:cs="Arial"/>
              </w:rPr>
              <w:t xml:space="preserve">Please see attached (Covered Services Attachment) which details benefits subject to </w:t>
            </w:r>
            <w:proofErr w:type="gramStart"/>
            <w:r>
              <w:rPr>
                <w:rFonts w:ascii="Arial" w:eastAsia="Times New Roman" w:hAnsi="Arial" w:cs="Arial"/>
              </w:rPr>
              <w:t>QL</w:t>
            </w:r>
            <w:proofErr w:type="gramEnd"/>
          </w:p>
          <w:p w14:paraId="2B3F2A50" w14:textId="77777777" w:rsidR="00353F67" w:rsidRDefault="00353F67">
            <w:pPr>
              <w:rPr>
                <w:rFonts w:ascii="Arial" w:eastAsia="Times New Roman" w:hAnsi="Arial" w:cs="Arial"/>
              </w:rPr>
            </w:pPr>
          </w:p>
          <w:p w14:paraId="31470233" w14:textId="77777777" w:rsidR="00353F67" w:rsidRDefault="00353F67">
            <w:pPr>
              <w:rPr>
                <w:rFonts w:ascii="Arial" w:eastAsia="Times New Roman" w:hAnsi="Arial" w:cs="Arial"/>
              </w:rPr>
            </w:pPr>
          </w:p>
          <w:p w14:paraId="0C2C2EC7" w14:textId="77777777" w:rsidR="00353F67" w:rsidRDefault="00353F67">
            <w:pPr>
              <w:rPr>
                <w:rFonts w:ascii="Arial" w:eastAsia="Times New Roman" w:hAnsi="Arial" w:cs="Arial"/>
              </w:rPr>
            </w:pPr>
          </w:p>
          <w:p w14:paraId="160B5060" w14:textId="77777777" w:rsidR="00353F67" w:rsidRDefault="00353F67">
            <w:pPr>
              <w:rPr>
                <w:rFonts w:ascii="Arial" w:eastAsia="Times New Roman" w:hAnsi="Arial" w:cs="Arial"/>
              </w:rPr>
            </w:pPr>
          </w:p>
        </w:tc>
      </w:tr>
      <w:tr w:rsidR="00353F67" w14:paraId="15707636" w14:textId="77777777" w:rsidTr="00353F6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65AB7B" w14:textId="77777777" w:rsidR="00353F67" w:rsidRDefault="00353F67">
            <w:pPr>
              <w:rPr>
                <w:rFonts w:ascii="Arial" w:hAnsi="Arial" w:cs="Arial"/>
                <w:b/>
                <w:bCs/>
              </w:rPr>
            </w:pPr>
            <w:r>
              <w:rPr>
                <w:rFonts w:ascii="Arial" w:eastAsia="Times New Roman" w:hAnsi="Arial" w:cs="Arial"/>
                <w:b/>
                <w:bCs/>
              </w:rPr>
              <w:t>Step 2 – Identify the factors used to determine that Quantity Limits will apply to mental health or substance use disorder benefits and medical or surgical drugs</w:t>
            </w:r>
            <w:r>
              <w:rPr>
                <w:rStyle w:val="FootnoteReference"/>
                <w:rFonts w:ascii="Arial" w:eastAsia="Times New Roman" w:hAnsi="Arial" w:cs="Arial"/>
                <w:b/>
                <w:bCs/>
              </w:rPr>
              <w:footnoteReference w:id="54"/>
            </w:r>
          </w:p>
        </w:tc>
      </w:tr>
      <w:tr w:rsidR="00353F67" w14:paraId="6F65D228" w14:textId="77777777" w:rsidTr="00353F67">
        <w:trPr>
          <w:trHeight w:val="1430"/>
        </w:trPr>
        <w:tc>
          <w:tcPr>
            <w:tcW w:w="2500" w:type="pct"/>
            <w:tcBorders>
              <w:top w:val="single" w:sz="4" w:space="0" w:color="auto"/>
              <w:left w:val="single" w:sz="4" w:space="0" w:color="auto"/>
              <w:bottom w:val="single" w:sz="4" w:space="0" w:color="auto"/>
              <w:right w:val="single" w:sz="4" w:space="0" w:color="auto"/>
            </w:tcBorders>
          </w:tcPr>
          <w:p w14:paraId="1673B802" w14:textId="77777777" w:rsidR="00353F67" w:rsidRDefault="00353F67">
            <w:pPr>
              <w:rPr>
                <w:rFonts w:ascii="Arial" w:eastAsia="Times New Roman" w:hAnsi="Arial" w:cs="Arial"/>
              </w:rPr>
            </w:pPr>
            <w:r>
              <w:rPr>
                <w:rFonts w:ascii="Arial" w:eastAsia="Times New Roman" w:hAnsi="Arial" w:cs="Arial"/>
                <w:b/>
              </w:rPr>
              <w:t>Medical/Surgical</w:t>
            </w:r>
            <w:r>
              <w:rPr>
                <w:rFonts w:ascii="Arial" w:eastAsia="Times New Roman" w:hAnsi="Arial" w:cs="Arial"/>
              </w:rPr>
              <w:t>:</w:t>
            </w:r>
          </w:p>
          <w:p w14:paraId="7066D5A7" w14:textId="77777777" w:rsidR="00353F67" w:rsidRDefault="00353F67">
            <w:pPr>
              <w:rPr>
                <w:rFonts w:ascii="Arial" w:eastAsia="Times New Roman" w:hAnsi="Arial" w:cs="Arial"/>
              </w:rPr>
            </w:pPr>
          </w:p>
          <w:p w14:paraId="341F58F6" w14:textId="77777777" w:rsidR="00353F67" w:rsidRDefault="00353F67">
            <w:pPr>
              <w:rPr>
                <w:rFonts w:ascii="Arial" w:eastAsia="Times New Roman" w:hAnsi="Arial" w:cs="Arial"/>
              </w:rPr>
            </w:pPr>
            <w:r>
              <w:rPr>
                <w:rFonts w:ascii="Arial" w:eastAsia="Times New Roman" w:hAnsi="Arial" w:cs="Arial"/>
              </w:rPr>
              <w:t>Factors for determining whether a prescription drug product will have Quantity Limit or not:</w:t>
            </w:r>
          </w:p>
          <w:p w14:paraId="31A4A16C" w14:textId="77777777" w:rsidR="00353F67" w:rsidRDefault="00353F67" w:rsidP="00353F67">
            <w:pPr>
              <w:pStyle w:val="ListParagraph"/>
              <w:numPr>
                <w:ilvl w:val="0"/>
                <w:numId w:val="52"/>
              </w:numPr>
              <w:spacing w:after="0" w:line="240" w:lineRule="auto"/>
              <w:rPr>
                <w:rFonts w:ascii="Arial" w:eastAsia="Times New Roman" w:hAnsi="Arial" w:cs="Arial"/>
              </w:rPr>
            </w:pPr>
            <w:r>
              <w:rPr>
                <w:rFonts w:ascii="Arial" w:eastAsia="Times New Roman" w:hAnsi="Arial" w:cs="Arial"/>
              </w:rPr>
              <w:t>Safety</w:t>
            </w:r>
          </w:p>
          <w:p w14:paraId="13D16DBA" w14:textId="77777777" w:rsidR="00353F67" w:rsidRDefault="00353F67" w:rsidP="00353F67">
            <w:pPr>
              <w:pStyle w:val="ListParagraph"/>
              <w:numPr>
                <w:ilvl w:val="0"/>
                <w:numId w:val="52"/>
              </w:numPr>
              <w:spacing w:after="0" w:line="240" w:lineRule="auto"/>
              <w:rPr>
                <w:rFonts w:ascii="Arial" w:eastAsia="Times New Roman" w:hAnsi="Arial" w:cs="Arial"/>
              </w:rPr>
            </w:pPr>
            <w:r>
              <w:rPr>
                <w:rFonts w:ascii="Arial" w:eastAsia="Times New Roman" w:hAnsi="Arial" w:cs="Arial"/>
              </w:rPr>
              <w:t xml:space="preserve">Anticipated excessive </w:t>
            </w:r>
            <w:proofErr w:type="gramStart"/>
            <w:r>
              <w:rPr>
                <w:rFonts w:ascii="Arial" w:eastAsia="Times New Roman" w:hAnsi="Arial" w:cs="Arial"/>
              </w:rPr>
              <w:t>utilization</w:t>
            </w:r>
            <w:proofErr w:type="gramEnd"/>
          </w:p>
          <w:p w14:paraId="646B229A" w14:textId="77777777" w:rsidR="00353F67" w:rsidRDefault="00353F67" w:rsidP="00353F67">
            <w:pPr>
              <w:pStyle w:val="ListParagraph"/>
              <w:numPr>
                <w:ilvl w:val="0"/>
                <w:numId w:val="52"/>
              </w:numPr>
              <w:spacing w:after="0" w:line="240" w:lineRule="auto"/>
              <w:rPr>
                <w:rFonts w:ascii="Arial" w:eastAsia="Times New Roman" w:hAnsi="Arial" w:cs="Arial"/>
              </w:rPr>
            </w:pPr>
            <w:r>
              <w:rPr>
                <w:rFonts w:ascii="Arial" w:eastAsia="Times New Roman" w:hAnsi="Arial" w:cs="Arial"/>
              </w:rPr>
              <w:t>Member Impact</w:t>
            </w:r>
          </w:p>
          <w:p w14:paraId="7D1B6A53" w14:textId="77777777" w:rsidR="00353F67" w:rsidRDefault="00353F67">
            <w:pPr>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1FCAE013" w14:textId="77777777" w:rsidR="00353F67" w:rsidRDefault="00353F67">
            <w:pPr>
              <w:rPr>
                <w:rFonts w:ascii="Arial" w:eastAsia="Times New Roman" w:hAnsi="Arial" w:cs="Arial"/>
              </w:rPr>
            </w:pPr>
            <w:r>
              <w:rPr>
                <w:rFonts w:ascii="Arial" w:eastAsia="Times New Roman" w:hAnsi="Arial" w:cs="Arial"/>
                <w:b/>
              </w:rPr>
              <w:t>MH/SUD</w:t>
            </w:r>
            <w:r>
              <w:rPr>
                <w:rFonts w:ascii="Arial" w:eastAsia="Times New Roman" w:hAnsi="Arial" w:cs="Arial"/>
              </w:rPr>
              <w:t>:</w:t>
            </w:r>
          </w:p>
          <w:p w14:paraId="4502FE5C" w14:textId="77777777" w:rsidR="00353F67" w:rsidRDefault="00353F67">
            <w:pPr>
              <w:rPr>
                <w:rFonts w:ascii="Arial" w:eastAsia="Times New Roman" w:hAnsi="Arial" w:cs="Arial"/>
              </w:rPr>
            </w:pPr>
          </w:p>
          <w:p w14:paraId="1EE4F7E0" w14:textId="77777777" w:rsidR="00353F67" w:rsidRDefault="00353F67">
            <w:pPr>
              <w:rPr>
                <w:rFonts w:ascii="Arial" w:eastAsia="Times New Roman" w:hAnsi="Arial" w:cs="Arial"/>
              </w:rPr>
            </w:pPr>
            <w:r>
              <w:rPr>
                <w:rFonts w:ascii="Arial" w:eastAsia="Times New Roman" w:hAnsi="Arial" w:cs="Arial"/>
              </w:rPr>
              <w:t>Factors for determining whether a prescription drug product will have Quantity Limit or not:</w:t>
            </w:r>
          </w:p>
          <w:p w14:paraId="510607CB" w14:textId="77777777" w:rsidR="00353F67" w:rsidRDefault="00353F67" w:rsidP="00353F67">
            <w:pPr>
              <w:pStyle w:val="ListParagraph"/>
              <w:numPr>
                <w:ilvl w:val="0"/>
                <w:numId w:val="53"/>
              </w:numPr>
              <w:spacing w:after="0" w:line="240" w:lineRule="auto"/>
              <w:rPr>
                <w:rFonts w:ascii="Arial" w:eastAsia="Times New Roman" w:hAnsi="Arial" w:cs="Arial"/>
              </w:rPr>
            </w:pPr>
            <w:r>
              <w:rPr>
                <w:rFonts w:ascii="Arial" w:eastAsia="Times New Roman" w:hAnsi="Arial" w:cs="Arial"/>
              </w:rPr>
              <w:t>Same as M/S</w:t>
            </w:r>
          </w:p>
        </w:tc>
      </w:tr>
      <w:tr w:rsidR="00353F67" w14:paraId="1174C06E" w14:textId="77777777" w:rsidTr="00353F6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3C3973" w14:textId="77777777" w:rsidR="00353F67" w:rsidRDefault="00353F67">
            <w:pPr>
              <w:rPr>
                <w:rFonts w:ascii="Arial" w:eastAsia="Times New Roman" w:hAnsi="Arial" w:cs="Arial"/>
                <w:b/>
                <w:bCs/>
              </w:rPr>
            </w:pPr>
            <w:r>
              <w:rPr>
                <w:rFonts w:ascii="Arial" w:eastAsia="Times New Roman" w:hAnsi="Arial" w:cs="Arial"/>
                <w:b/>
                <w:bCs/>
              </w:rPr>
              <w:t>Step 3 – Identify the evidentiary standards used for the factors identified in Step 2, when applicable, provided that every factor shall be defined, and any other source or evidence relied upon to design and apply Quantity Limits to mental health or substance use disorder benefits and medical or surgical benefits.</w:t>
            </w:r>
          </w:p>
        </w:tc>
      </w:tr>
      <w:tr w:rsidR="00353F67" w14:paraId="7AA35D24" w14:textId="77777777" w:rsidTr="00353F67">
        <w:trPr>
          <w:trHeight w:val="1720"/>
        </w:trPr>
        <w:tc>
          <w:tcPr>
            <w:tcW w:w="2500" w:type="pct"/>
            <w:tcBorders>
              <w:top w:val="single" w:sz="4" w:space="0" w:color="auto"/>
              <w:left w:val="single" w:sz="4" w:space="0" w:color="auto"/>
              <w:bottom w:val="single" w:sz="4" w:space="0" w:color="auto"/>
              <w:right w:val="single" w:sz="4" w:space="0" w:color="auto"/>
            </w:tcBorders>
          </w:tcPr>
          <w:p w14:paraId="4706F2A9" w14:textId="77777777" w:rsidR="00353F67" w:rsidRDefault="00353F67">
            <w:pPr>
              <w:rPr>
                <w:rFonts w:ascii="Arial" w:eastAsia="Times New Roman" w:hAnsi="Arial" w:cs="Arial"/>
              </w:rPr>
            </w:pPr>
            <w:r>
              <w:rPr>
                <w:rFonts w:ascii="Arial" w:eastAsia="Times New Roman" w:hAnsi="Arial" w:cs="Arial"/>
                <w:b/>
              </w:rPr>
              <w:t>Medical/Surgical</w:t>
            </w:r>
            <w:r>
              <w:rPr>
                <w:rFonts w:ascii="Arial" w:eastAsia="Times New Roman" w:hAnsi="Arial" w:cs="Arial"/>
              </w:rPr>
              <w:t>:</w:t>
            </w:r>
          </w:p>
          <w:p w14:paraId="709807CC" w14:textId="77777777" w:rsidR="00353F67" w:rsidRDefault="00353F67">
            <w:pPr>
              <w:rPr>
                <w:rFonts w:ascii="Arial" w:eastAsia="Times New Roman" w:hAnsi="Arial" w:cs="Arial"/>
              </w:rPr>
            </w:pPr>
          </w:p>
          <w:p w14:paraId="1370051D" w14:textId="77777777" w:rsidR="00353F67" w:rsidRDefault="00353F67" w:rsidP="00353F67">
            <w:pPr>
              <w:pStyle w:val="ListParagraph"/>
              <w:numPr>
                <w:ilvl w:val="0"/>
                <w:numId w:val="50"/>
              </w:numPr>
              <w:spacing w:after="0" w:line="240" w:lineRule="auto"/>
              <w:rPr>
                <w:rFonts w:ascii="Arial" w:eastAsia="Times New Roman" w:hAnsi="Arial" w:cs="Arial"/>
              </w:rPr>
            </w:pPr>
            <w:r>
              <w:rPr>
                <w:rFonts w:ascii="Arial" w:eastAsia="Times New Roman" w:hAnsi="Arial" w:cs="Arial"/>
              </w:rPr>
              <w:t>Factor 1: Safety</w:t>
            </w:r>
            <w:r>
              <w:rPr>
                <w:rFonts w:ascii="Arial" w:eastAsia="Times New Roman" w:hAnsi="Arial" w:cs="Arial"/>
                <w:bCs/>
              </w:rPr>
              <w:t xml:space="preserve"> - This factor carries more weight due to the </w:t>
            </w:r>
            <w:proofErr w:type="gramStart"/>
            <w:r>
              <w:rPr>
                <w:rFonts w:ascii="Arial" w:eastAsia="Times New Roman" w:hAnsi="Arial" w:cs="Arial"/>
                <w:bCs/>
              </w:rPr>
              <w:t>member</w:t>
            </w:r>
            <w:proofErr w:type="gramEnd"/>
            <w:r>
              <w:rPr>
                <w:rFonts w:ascii="Arial" w:eastAsia="Times New Roman" w:hAnsi="Arial" w:cs="Arial"/>
                <w:bCs/>
              </w:rPr>
              <w:t xml:space="preserve"> safety concerns. Ensuring the safety and wellbeing of our members is of upmost importance.</w:t>
            </w:r>
          </w:p>
          <w:p w14:paraId="4B80E182"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Source: </w:t>
            </w:r>
            <w:r>
              <w:rPr>
                <w:rFonts w:ascii="Arial" w:hAnsi="Arial" w:cs="Arial"/>
                <w:bCs/>
              </w:rPr>
              <w:t xml:space="preserve">FDA Prescribing Information, professionally recognized treatment guidelines used to define clinically appropriate standards of care, nationally recognized Compendia - Truven Health Analytics Micromedex </w:t>
            </w:r>
            <w:proofErr w:type="spellStart"/>
            <w:r>
              <w:rPr>
                <w:rFonts w:ascii="Arial" w:hAnsi="Arial" w:cs="Arial"/>
                <w:bCs/>
              </w:rPr>
              <w:t>DrugDEX</w:t>
            </w:r>
            <w:proofErr w:type="spellEnd"/>
            <w:r>
              <w:rPr>
                <w:rFonts w:ascii="Arial" w:hAnsi="Arial" w:cs="Arial"/>
                <w:bCs/>
              </w:rPr>
              <w:t xml:space="preserve"> (</w:t>
            </w:r>
            <w:proofErr w:type="spellStart"/>
            <w:r>
              <w:rPr>
                <w:rFonts w:ascii="Arial" w:hAnsi="Arial" w:cs="Arial"/>
                <w:bCs/>
              </w:rPr>
              <w:t>DrugDEX</w:t>
            </w:r>
            <w:proofErr w:type="spellEnd"/>
            <w:r>
              <w:rPr>
                <w:rFonts w:ascii="Arial" w:hAnsi="Arial" w:cs="Arial"/>
                <w:bCs/>
              </w:rPr>
              <w:t>), and peer-reviewed medical literature.</w:t>
            </w:r>
          </w:p>
          <w:p w14:paraId="2A580601"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Evidentiary Standard: </w:t>
            </w:r>
            <w:r>
              <w:rPr>
                <w:rFonts w:ascii="Arial" w:eastAsia="Times New Roman" w:hAnsi="Arial" w:cs="Arial"/>
                <w:bCs/>
              </w:rPr>
              <w:t xml:space="preserve">P&amp;T Committee members discuss safety of newly released products to determine if they have potential for unsafe use. Sources listed above are compiled by Wellfleet’s Clinical Pharmacist into New Drug Reviews and Therapeutic Class Reviews. These reviews contain information on indications, dosing &amp; administration, clinical and comparative efficacy, clinical guidelines, contraindications &amp; special populations, etc. These are forwarded to the P&amp;T committee prior to the meetings for their review. Meeting discussions include an analysis </w:t>
            </w:r>
            <w:proofErr w:type="gramStart"/>
            <w:r>
              <w:rPr>
                <w:rFonts w:ascii="Arial" w:eastAsia="Times New Roman" w:hAnsi="Arial" w:cs="Arial"/>
                <w:bCs/>
              </w:rPr>
              <w:t>of:</w:t>
            </w:r>
            <w:proofErr w:type="gramEnd"/>
            <w:r>
              <w:rPr>
                <w:rFonts w:ascii="Arial" w:eastAsia="Times New Roman" w:hAnsi="Arial" w:cs="Arial"/>
                <w:bCs/>
              </w:rPr>
              <w:t xml:space="preserve"> appropriate dosing, potential overdose, prescribing by particular specialty provider, adherence or potential non-adherence to guidelines, etc.</w:t>
            </w:r>
          </w:p>
          <w:p w14:paraId="0DEB1CAC" w14:textId="77777777" w:rsidR="00353F67" w:rsidRDefault="00353F67" w:rsidP="00353F67">
            <w:pPr>
              <w:pStyle w:val="ListParagraph"/>
              <w:numPr>
                <w:ilvl w:val="0"/>
                <w:numId w:val="50"/>
              </w:numPr>
              <w:spacing w:after="0" w:line="240" w:lineRule="auto"/>
              <w:rPr>
                <w:rFonts w:ascii="Arial" w:eastAsia="Times New Roman" w:hAnsi="Arial" w:cs="Arial"/>
              </w:rPr>
            </w:pPr>
            <w:r>
              <w:rPr>
                <w:rFonts w:ascii="Arial" w:eastAsia="Times New Roman" w:hAnsi="Arial" w:cs="Arial"/>
              </w:rPr>
              <w:t xml:space="preserve">Factor 2: Anticipated excessive </w:t>
            </w:r>
            <w:proofErr w:type="gramStart"/>
            <w:r>
              <w:rPr>
                <w:rFonts w:ascii="Arial" w:eastAsia="Times New Roman" w:hAnsi="Arial" w:cs="Arial"/>
              </w:rPr>
              <w:t>utilization</w:t>
            </w:r>
            <w:proofErr w:type="gramEnd"/>
          </w:p>
          <w:p w14:paraId="0FB7B0D4"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Source: </w:t>
            </w:r>
            <w:r>
              <w:rPr>
                <w:rFonts w:ascii="Arial" w:eastAsia="Times New Roman" w:hAnsi="Arial" w:cs="Arial"/>
                <w:bCs/>
              </w:rPr>
              <w:t>A</w:t>
            </w:r>
            <w:r>
              <w:rPr>
                <w:rFonts w:ascii="Arial" w:hAnsi="Arial" w:cs="Arial"/>
                <w:bCs/>
              </w:rPr>
              <w:t xml:space="preserve">ggregated data or non-identifiable utilization reports, FDA Prescribing Information, professionally recognized treatment guidelines used to define clinically appropriate standards of care such as nationally recognized Compendia - Truven Health Analytics Micromedex </w:t>
            </w:r>
            <w:proofErr w:type="spellStart"/>
            <w:r>
              <w:rPr>
                <w:rFonts w:ascii="Arial" w:hAnsi="Arial" w:cs="Arial"/>
                <w:bCs/>
              </w:rPr>
              <w:t>DrugDEX</w:t>
            </w:r>
            <w:proofErr w:type="spellEnd"/>
            <w:r>
              <w:rPr>
                <w:rFonts w:ascii="Arial" w:hAnsi="Arial" w:cs="Arial"/>
                <w:bCs/>
              </w:rPr>
              <w:t xml:space="preserve"> (</w:t>
            </w:r>
            <w:proofErr w:type="spellStart"/>
            <w:r>
              <w:rPr>
                <w:rFonts w:ascii="Arial" w:hAnsi="Arial" w:cs="Arial"/>
                <w:bCs/>
              </w:rPr>
              <w:t>DrugDEX</w:t>
            </w:r>
            <w:proofErr w:type="spellEnd"/>
            <w:r>
              <w:rPr>
                <w:rFonts w:ascii="Arial" w:hAnsi="Arial" w:cs="Arial"/>
                <w:bCs/>
              </w:rPr>
              <w:t>), and peer-reviewed medical literature.</w:t>
            </w:r>
          </w:p>
          <w:p w14:paraId="15076D4A"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Evidentiary Standard: </w:t>
            </w:r>
            <w:r>
              <w:rPr>
                <w:rFonts w:ascii="Arial" w:eastAsia="Times New Roman" w:hAnsi="Arial" w:cs="Arial"/>
                <w:bCs/>
              </w:rPr>
              <w:t xml:space="preserve">Clinical Pharmacist reviews claims data every 6 months and compares actual utilization against the recommendations in the sources identified above (e.g. FDA prescribing information, dosing schedules, etc.) to determine whether a drug is being used excessively or inappropriately. “Excessive utilization” is defined as anything above the FDA approved dosing schedule or recommended dosage in peer-reviewed medical journals. If the Clinical Pharmacist determines a drug is subject to potential excessive utilization, the Clinical Pharmacist or the P&amp;T Committee may recommend applying a quantity limit to the Value Assessment Committee (VAC). The VAC reviews the Clinical Pharmacist’s and the P&amp;T Committee recommendation to approve the decision of applying such </w:t>
            </w:r>
            <w:proofErr w:type="spellStart"/>
            <w:r>
              <w:rPr>
                <w:rFonts w:ascii="Arial" w:eastAsia="Times New Roman" w:hAnsi="Arial" w:cs="Arial"/>
                <w:bCs/>
              </w:rPr>
              <w:t>limmitation</w:t>
            </w:r>
            <w:proofErr w:type="spellEnd"/>
            <w:r>
              <w:rPr>
                <w:rFonts w:ascii="Arial" w:eastAsia="Times New Roman" w:hAnsi="Arial" w:cs="Arial"/>
                <w:bCs/>
              </w:rPr>
              <w:t>.</w:t>
            </w:r>
          </w:p>
          <w:p w14:paraId="58F8732B" w14:textId="77777777" w:rsidR="00353F67" w:rsidRDefault="00353F67" w:rsidP="00353F67">
            <w:pPr>
              <w:pStyle w:val="ListParagraph"/>
              <w:numPr>
                <w:ilvl w:val="0"/>
                <w:numId w:val="50"/>
              </w:numPr>
              <w:spacing w:after="0" w:line="240" w:lineRule="auto"/>
              <w:rPr>
                <w:rFonts w:ascii="Arial" w:eastAsia="Times New Roman" w:hAnsi="Arial" w:cs="Arial"/>
              </w:rPr>
            </w:pPr>
            <w:r>
              <w:rPr>
                <w:rFonts w:ascii="Arial" w:eastAsia="Times New Roman" w:hAnsi="Arial" w:cs="Arial"/>
              </w:rPr>
              <w:t>Factor 3: Member Impact (this factor is used only to determine when QL should not be applied)</w:t>
            </w:r>
          </w:p>
          <w:p w14:paraId="4E6716CE"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Source: Internal claims data, internal </w:t>
            </w:r>
            <w:proofErr w:type="gramStart"/>
            <w:r>
              <w:rPr>
                <w:rFonts w:ascii="Arial" w:eastAsia="Times New Roman" w:hAnsi="Arial" w:cs="Arial"/>
              </w:rPr>
              <w:t>market</w:t>
            </w:r>
            <w:proofErr w:type="gramEnd"/>
            <w:r>
              <w:rPr>
                <w:rFonts w:ascii="Arial" w:eastAsia="Times New Roman" w:hAnsi="Arial" w:cs="Arial"/>
              </w:rPr>
              <w:t xml:space="preserve"> and competitive analysis</w:t>
            </w:r>
          </w:p>
          <w:p w14:paraId="63E2C309"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Evidentiary Standard: The Value Assessment Committee reviews a cost report for the past year to determine the impact and number of members that maybe be using a particular benefit that is being considered for QL application. The VAC determines the number of members that will be negatively impacted by quantity limit additions. The VAC </w:t>
            </w:r>
            <w:proofErr w:type="gramStart"/>
            <w:r>
              <w:rPr>
                <w:rFonts w:ascii="Arial" w:eastAsia="Times New Roman" w:hAnsi="Arial" w:cs="Arial"/>
              </w:rPr>
              <w:t>makes a decision</w:t>
            </w:r>
            <w:proofErr w:type="gramEnd"/>
            <w:r>
              <w:rPr>
                <w:rFonts w:ascii="Arial" w:eastAsia="Times New Roman" w:hAnsi="Arial" w:cs="Arial"/>
              </w:rPr>
              <w:t xml:space="preserve"> based on their professional judgement as to whether QL should not be applied to avoid negative member impact. This is only </w:t>
            </w:r>
            <w:proofErr w:type="gramStart"/>
            <w:r>
              <w:rPr>
                <w:rFonts w:ascii="Arial" w:eastAsia="Times New Roman" w:hAnsi="Arial" w:cs="Arial"/>
              </w:rPr>
              <w:t>taken into account</w:t>
            </w:r>
            <w:proofErr w:type="gramEnd"/>
            <w:r>
              <w:rPr>
                <w:rFonts w:ascii="Arial" w:eastAsia="Times New Roman" w:hAnsi="Arial" w:cs="Arial"/>
              </w:rPr>
              <w:t xml:space="preserve"> to decide </w:t>
            </w:r>
            <w:r>
              <w:rPr>
                <w:rFonts w:ascii="Arial" w:eastAsia="Times New Roman" w:hAnsi="Arial" w:cs="Arial"/>
                <w:i/>
                <w:iCs/>
              </w:rPr>
              <w:t>not</w:t>
            </w:r>
            <w:r>
              <w:rPr>
                <w:rFonts w:ascii="Arial" w:eastAsia="Times New Roman" w:hAnsi="Arial" w:cs="Arial"/>
              </w:rPr>
              <w:t xml:space="preserve"> to apply or to remove a quantity limit requirement from a medication and is not used in the application process for QL. If factors 1 and 2 suggest the addition of QL, but we anticipate significant member or client impact based on our covered demographic, we may put the interest of our members first and not assign a QL designation.</w:t>
            </w:r>
          </w:p>
          <w:p w14:paraId="0D61272F" w14:textId="77777777" w:rsidR="00353F67" w:rsidRDefault="00353F67">
            <w:pPr>
              <w:rPr>
                <w:rFonts w:ascii="Arial" w:eastAsia="Times New Roman"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6328F3AA" w14:textId="77777777" w:rsidR="00353F67" w:rsidRDefault="00353F67">
            <w:pPr>
              <w:rPr>
                <w:rFonts w:ascii="Arial" w:eastAsia="Times New Roman" w:hAnsi="Arial" w:cs="Arial"/>
              </w:rPr>
            </w:pPr>
            <w:r>
              <w:rPr>
                <w:rFonts w:ascii="Arial" w:eastAsia="Times New Roman" w:hAnsi="Arial" w:cs="Arial"/>
                <w:b/>
              </w:rPr>
              <w:t>MH/SUD</w:t>
            </w:r>
            <w:r>
              <w:rPr>
                <w:rFonts w:ascii="Arial" w:eastAsia="Times New Roman" w:hAnsi="Arial" w:cs="Arial"/>
              </w:rPr>
              <w:t>:</w:t>
            </w:r>
          </w:p>
          <w:p w14:paraId="3518A670" w14:textId="77777777" w:rsidR="00353F67" w:rsidRDefault="00353F67">
            <w:pPr>
              <w:rPr>
                <w:rFonts w:ascii="Arial" w:eastAsia="Times New Roman" w:hAnsi="Arial" w:cs="Arial"/>
              </w:rPr>
            </w:pPr>
          </w:p>
          <w:p w14:paraId="0DB5DCD3" w14:textId="77777777" w:rsidR="00353F67" w:rsidRDefault="00353F67" w:rsidP="00353F67">
            <w:pPr>
              <w:pStyle w:val="ListParagraph"/>
              <w:numPr>
                <w:ilvl w:val="0"/>
                <w:numId w:val="50"/>
              </w:numPr>
              <w:spacing w:after="0" w:line="240" w:lineRule="auto"/>
              <w:rPr>
                <w:rFonts w:ascii="Arial" w:eastAsia="Times New Roman" w:hAnsi="Arial" w:cs="Arial"/>
              </w:rPr>
            </w:pPr>
            <w:r>
              <w:rPr>
                <w:rFonts w:ascii="Arial" w:eastAsia="Times New Roman" w:hAnsi="Arial" w:cs="Arial"/>
              </w:rPr>
              <w:t>Factor 1: Safety</w:t>
            </w:r>
            <w:r>
              <w:rPr>
                <w:rFonts w:ascii="Arial" w:eastAsia="Times New Roman" w:hAnsi="Arial" w:cs="Arial"/>
                <w:bCs/>
              </w:rPr>
              <w:t xml:space="preserve"> - This factor carries more weight due to the </w:t>
            </w:r>
            <w:proofErr w:type="gramStart"/>
            <w:r>
              <w:rPr>
                <w:rFonts w:ascii="Arial" w:eastAsia="Times New Roman" w:hAnsi="Arial" w:cs="Arial"/>
                <w:bCs/>
              </w:rPr>
              <w:t>member</w:t>
            </w:r>
            <w:proofErr w:type="gramEnd"/>
            <w:r>
              <w:rPr>
                <w:rFonts w:ascii="Arial" w:eastAsia="Times New Roman" w:hAnsi="Arial" w:cs="Arial"/>
                <w:bCs/>
              </w:rPr>
              <w:t xml:space="preserve"> safety concerns. Ensuring the safety and wellbeing of our members is of upmost importance.</w:t>
            </w:r>
          </w:p>
          <w:p w14:paraId="14E53EBB"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Source: </w:t>
            </w:r>
            <w:r>
              <w:rPr>
                <w:rFonts w:ascii="Arial" w:hAnsi="Arial" w:cs="Arial"/>
              </w:rPr>
              <w:t xml:space="preserve">FDA Prescribing Information, professionally recognized treatment guidelines used to define clinically appropriate standards of care such as ASAM criteria or APA treatment guidelines, nationally recognized Compendia - Truven Health Analytics Micromedex </w:t>
            </w:r>
            <w:proofErr w:type="spellStart"/>
            <w:r>
              <w:rPr>
                <w:rFonts w:ascii="Arial" w:hAnsi="Arial" w:cs="Arial"/>
              </w:rPr>
              <w:t>DrugDEX</w:t>
            </w:r>
            <w:proofErr w:type="spellEnd"/>
            <w:r>
              <w:rPr>
                <w:rFonts w:ascii="Arial" w:hAnsi="Arial" w:cs="Arial"/>
              </w:rPr>
              <w:t xml:space="preserve"> (</w:t>
            </w:r>
            <w:proofErr w:type="spellStart"/>
            <w:r>
              <w:rPr>
                <w:rFonts w:ascii="Arial" w:hAnsi="Arial" w:cs="Arial"/>
              </w:rPr>
              <w:t>DrugDEX</w:t>
            </w:r>
            <w:proofErr w:type="spellEnd"/>
            <w:r>
              <w:rPr>
                <w:rFonts w:ascii="Arial" w:hAnsi="Arial" w:cs="Arial"/>
              </w:rPr>
              <w:t>), and peer-reviewed medical literature.</w:t>
            </w:r>
          </w:p>
          <w:p w14:paraId="39A448A0"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Evidentiary Standard: Same as M/S</w:t>
            </w:r>
          </w:p>
          <w:p w14:paraId="6E8300E8" w14:textId="77777777" w:rsidR="00353F67" w:rsidRDefault="00353F67">
            <w:pPr>
              <w:pStyle w:val="ListParagraph"/>
              <w:rPr>
                <w:rFonts w:ascii="Arial" w:eastAsia="Times New Roman" w:hAnsi="Arial" w:cs="Arial"/>
              </w:rPr>
            </w:pPr>
          </w:p>
          <w:p w14:paraId="32C6BBDE" w14:textId="77777777" w:rsidR="00353F67" w:rsidRDefault="00353F67">
            <w:pPr>
              <w:pStyle w:val="ListParagraph"/>
              <w:rPr>
                <w:rFonts w:ascii="Arial" w:eastAsia="Times New Roman" w:hAnsi="Arial" w:cs="Arial"/>
              </w:rPr>
            </w:pPr>
          </w:p>
          <w:p w14:paraId="0D220998" w14:textId="77777777" w:rsidR="00353F67" w:rsidRDefault="00353F67">
            <w:pPr>
              <w:pStyle w:val="ListParagraph"/>
              <w:rPr>
                <w:rFonts w:ascii="Arial" w:eastAsia="Times New Roman" w:hAnsi="Arial" w:cs="Arial"/>
              </w:rPr>
            </w:pPr>
          </w:p>
          <w:p w14:paraId="6DD6CCCE" w14:textId="77777777" w:rsidR="00353F67" w:rsidRDefault="00353F67">
            <w:pPr>
              <w:pStyle w:val="ListParagraph"/>
              <w:rPr>
                <w:rFonts w:ascii="Arial" w:eastAsia="Times New Roman" w:hAnsi="Arial" w:cs="Arial"/>
              </w:rPr>
            </w:pPr>
          </w:p>
          <w:p w14:paraId="647BEAB4" w14:textId="77777777" w:rsidR="00353F67" w:rsidRDefault="00353F67">
            <w:pPr>
              <w:pStyle w:val="ListParagraph"/>
              <w:rPr>
                <w:rFonts w:ascii="Arial" w:eastAsia="Times New Roman" w:hAnsi="Arial" w:cs="Arial"/>
              </w:rPr>
            </w:pPr>
          </w:p>
          <w:p w14:paraId="00E7DC94" w14:textId="77777777" w:rsidR="00353F67" w:rsidRDefault="00353F67">
            <w:pPr>
              <w:pStyle w:val="ListParagraph"/>
              <w:rPr>
                <w:rFonts w:ascii="Arial" w:eastAsia="Times New Roman" w:hAnsi="Arial" w:cs="Arial"/>
              </w:rPr>
            </w:pPr>
          </w:p>
          <w:p w14:paraId="5A05BD6E" w14:textId="77777777" w:rsidR="00353F67" w:rsidRDefault="00353F67">
            <w:pPr>
              <w:pStyle w:val="ListParagraph"/>
              <w:rPr>
                <w:rFonts w:ascii="Arial" w:eastAsia="Times New Roman" w:hAnsi="Arial" w:cs="Arial"/>
              </w:rPr>
            </w:pPr>
          </w:p>
          <w:p w14:paraId="2941107C" w14:textId="77777777" w:rsidR="00353F67" w:rsidRDefault="00353F67">
            <w:pPr>
              <w:pStyle w:val="ListParagraph"/>
              <w:rPr>
                <w:rFonts w:ascii="Arial" w:eastAsia="Times New Roman" w:hAnsi="Arial" w:cs="Arial"/>
              </w:rPr>
            </w:pPr>
          </w:p>
          <w:p w14:paraId="40223D17" w14:textId="77777777" w:rsidR="00353F67" w:rsidRDefault="00353F67" w:rsidP="00353F67">
            <w:pPr>
              <w:pStyle w:val="ListParagraph"/>
              <w:numPr>
                <w:ilvl w:val="0"/>
                <w:numId w:val="50"/>
              </w:numPr>
              <w:spacing w:after="0" w:line="240" w:lineRule="auto"/>
              <w:rPr>
                <w:rFonts w:ascii="Arial" w:eastAsia="Times New Roman" w:hAnsi="Arial" w:cs="Arial"/>
              </w:rPr>
            </w:pPr>
            <w:r>
              <w:rPr>
                <w:rFonts w:ascii="Arial" w:eastAsia="Times New Roman" w:hAnsi="Arial" w:cs="Arial"/>
              </w:rPr>
              <w:t xml:space="preserve">Factor 2: Anticipated excessive </w:t>
            </w:r>
            <w:proofErr w:type="gramStart"/>
            <w:r>
              <w:rPr>
                <w:rFonts w:ascii="Arial" w:eastAsia="Times New Roman" w:hAnsi="Arial" w:cs="Arial"/>
              </w:rPr>
              <w:t>utilization</w:t>
            </w:r>
            <w:proofErr w:type="gramEnd"/>
          </w:p>
          <w:p w14:paraId="7C8E5F3D"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Source: A</w:t>
            </w:r>
            <w:r>
              <w:rPr>
                <w:rFonts w:ascii="Arial" w:hAnsi="Arial" w:cs="Arial"/>
              </w:rPr>
              <w:t xml:space="preserve">ggregated data or non-identifiable utilization reports, FDA Prescribing Information, professionally recognized treatment guidelines used to define clinically appropriate standards of care such as ASAM criteria or APA treatment guidelines, nationally recognized Compendia - Truven Health Analytics Micromedex </w:t>
            </w:r>
            <w:proofErr w:type="spellStart"/>
            <w:r>
              <w:rPr>
                <w:rFonts w:ascii="Arial" w:hAnsi="Arial" w:cs="Arial"/>
              </w:rPr>
              <w:t>DrugDEX</w:t>
            </w:r>
            <w:proofErr w:type="spellEnd"/>
            <w:r>
              <w:rPr>
                <w:rFonts w:ascii="Arial" w:hAnsi="Arial" w:cs="Arial"/>
              </w:rPr>
              <w:t xml:space="preserve"> (</w:t>
            </w:r>
            <w:proofErr w:type="spellStart"/>
            <w:r>
              <w:rPr>
                <w:rFonts w:ascii="Arial" w:hAnsi="Arial" w:cs="Arial"/>
              </w:rPr>
              <w:t>DrugDEX</w:t>
            </w:r>
            <w:proofErr w:type="spellEnd"/>
            <w:r>
              <w:rPr>
                <w:rFonts w:ascii="Arial" w:hAnsi="Arial" w:cs="Arial"/>
              </w:rPr>
              <w:t>), and peer-reviewed medical literature.</w:t>
            </w:r>
          </w:p>
          <w:p w14:paraId="7CE896BA"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Evidentiary Standard: Same as M/S.</w:t>
            </w:r>
          </w:p>
          <w:p w14:paraId="01EB493F" w14:textId="77777777" w:rsidR="00353F67" w:rsidRDefault="00353F67">
            <w:pPr>
              <w:pStyle w:val="ListParagraph"/>
              <w:rPr>
                <w:rFonts w:ascii="Arial" w:eastAsia="Times New Roman" w:hAnsi="Arial" w:cs="Arial"/>
              </w:rPr>
            </w:pPr>
          </w:p>
          <w:p w14:paraId="3A65AA1D" w14:textId="77777777" w:rsidR="00353F67" w:rsidRDefault="00353F67">
            <w:pPr>
              <w:pStyle w:val="ListParagraph"/>
              <w:rPr>
                <w:rFonts w:ascii="Arial" w:eastAsia="Times New Roman" w:hAnsi="Arial" w:cs="Arial"/>
              </w:rPr>
            </w:pPr>
          </w:p>
          <w:p w14:paraId="693BE52A" w14:textId="77777777" w:rsidR="00353F67" w:rsidRDefault="00353F67">
            <w:pPr>
              <w:pStyle w:val="ListParagraph"/>
              <w:rPr>
                <w:rFonts w:ascii="Arial" w:eastAsia="Times New Roman" w:hAnsi="Arial" w:cs="Arial"/>
              </w:rPr>
            </w:pPr>
          </w:p>
          <w:p w14:paraId="39D369CE" w14:textId="77777777" w:rsidR="00353F67" w:rsidRDefault="00353F67">
            <w:pPr>
              <w:pStyle w:val="ListParagraph"/>
              <w:rPr>
                <w:rFonts w:ascii="Arial" w:eastAsia="Times New Roman" w:hAnsi="Arial" w:cs="Arial"/>
              </w:rPr>
            </w:pPr>
          </w:p>
          <w:p w14:paraId="7E8ECCBD" w14:textId="77777777" w:rsidR="00353F67" w:rsidRDefault="00353F67">
            <w:pPr>
              <w:pStyle w:val="ListParagraph"/>
              <w:rPr>
                <w:rFonts w:ascii="Arial" w:eastAsia="Times New Roman" w:hAnsi="Arial" w:cs="Arial"/>
              </w:rPr>
            </w:pPr>
          </w:p>
          <w:p w14:paraId="475164BF" w14:textId="77777777" w:rsidR="00353F67" w:rsidRDefault="00353F67">
            <w:pPr>
              <w:pStyle w:val="ListParagraph"/>
              <w:rPr>
                <w:rFonts w:ascii="Arial" w:eastAsia="Times New Roman" w:hAnsi="Arial" w:cs="Arial"/>
              </w:rPr>
            </w:pPr>
          </w:p>
          <w:p w14:paraId="1892D76B" w14:textId="77777777" w:rsidR="00353F67" w:rsidRDefault="00353F67">
            <w:pPr>
              <w:pStyle w:val="ListParagraph"/>
              <w:rPr>
                <w:rFonts w:ascii="Arial" w:eastAsia="Times New Roman" w:hAnsi="Arial" w:cs="Arial"/>
              </w:rPr>
            </w:pPr>
          </w:p>
          <w:p w14:paraId="475FDEC6" w14:textId="77777777" w:rsidR="00353F67" w:rsidRDefault="00353F67">
            <w:pPr>
              <w:pStyle w:val="ListParagraph"/>
              <w:rPr>
                <w:rFonts w:ascii="Arial" w:eastAsia="Times New Roman" w:hAnsi="Arial" w:cs="Arial"/>
              </w:rPr>
            </w:pPr>
          </w:p>
          <w:p w14:paraId="3A6C6E6C" w14:textId="77777777" w:rsidR="00353F67" w:rsidRDefault="00353F67">
            <w:pPr>
              <w:pStyle w:val="ListParagraph"/>
              <w:rPr>
                <w:rFonts w:ascii="Arial" w:eastAsia="Times New Roman" w:hAnsi="Arial" w:cs="Arial"/>
              </w:rPr>
            </w:pPr>
          </w:p>
          <w:p w14:paraId="42BA6888" w14:textId="77777777" w:rsidR="00353F67" w:rsidRDefault="00353F67">
            <w:pPr>
              <w:pStyle w:val="ListParagraph"/>
              <w:rPr>
                <w:rFonts w:ascii="Arial" w:eastAsia="Times New Roman" w:hAnsi="Arial" w:cs="Arial"/>
              </w:rPr>
            </w:pPr>
          </w:p>
          <w:p w14:paraId="7EE926BF" w14:textId="77777777" w:rsidR="00353F67" w:rsidRDefault="00353F67">
            <w:pPr>
              <w:pStyle w:val="ListParagraph"/>
              <w:rPr>
                <w:rFonts w:ascii="Arial" w:eastAsia="Times New Roman" w:hAnsi="Arial" w:cs="Arial"/>
              </w:rPr>
            </w:pPr>
          </w:p>
          <w:p w14:paraId="46A88F39" w14:textId="77777777" w:rsidR="00353F67" w:rsidRDefault="00353F67">
            <w:pPr>
              <w:pStyle w:val="ListParagraph"/>
              <w:rPr>
                <w:rFonts w:ascii="Arial" w:eastAsia="Times New Roman" w:hAnsi="Arial" w:cs="Arial"/>
              </w:rPr>
            </w:pPr>
          </w:p>
          <w:p w14:paraId="3CAFFBC3" w14:textId="77777777" w:rsidR="00353F67" w:rsidRDefault="00353F67">
            <w:pPr>
              <w:pStyle w:val="ListParagraph"/>
              <w:rPr>
                <w:rFonts w:ascii="Arial" w:eastAsia="Times New Roman" w:hAnsi="Arial" w:cs="Arial"/>
              </w:rPr>
            </w:pPr>
          </w:p>
          <w:p w14:paraId="10CFD3CA" w14:textId="77777777" w:rsidR="00353F67" w:rsidRDefault="00353F67">
            <w:pPr>
              <w:pStyle w:val="ListParagraph"/>
              <w:rPr>
                <w:rFonts w:ascii="Arial" w:eastAsia="Times New Roman" w:hAnsi="Arial" w:cs="Arial"/>
              </w:rPr>
            </w:pPr>
          </w:p>
          <w:p w14:paraId="6B289A19" w14:textId="77777777" w:rsidR="00353F67" w:rsidRDefault="00353F67">
            <w:pPr>
              <w:pStyle w:val="ListParagraph"/>
              <w:rPr>
                <w:rFonts w:ascii="Arial" w:eastAsia="Times New Roman" w:hAnsi="Arial" w:cs="Arial"/>
              </w:rPr>
            </w:pPr>
          </w:p>
          <w:p w14:paraId="545EEA27" w14:textId="77777777" w:rsidR="00353F67" w:rsidRDefault="00353F67">
            <w:pPr>
              <w:pStyle w:val="ListParagraph"/>
              <w:rPr>
                <w:rFonts w:ascii="Arial" w:eastAsia="Times New Roman" w:hAnsi="Arial" w:cs="Arial"/>
              </w:rPr>
            </w:pPr>
          </w:p>
          <w:p w14:paraId="5849C28B" w14:textId="77777777" w:rsidR="00353F67" w:rsidRDefault="00353F67">
            <w:pPr>
              <w:pStyle w:val="ListParagraph"/>
              <w:rPr>
                <w:rFonts w:ascii="Arial" w:eastAsia="Times New Roman" w:hAnsi="Arial" w:cs="Arial"/>
              </w:rPr>
            </w:pPr>
          </w:p>
          <w:p w14:paraId="20B92950" w14:textId="77777777" w:rsidR="00353F67" w:rsidRDefault="00353F67">
            <w:pPr>
              <w:pStyle w:val="ListParagraph"/>
              <w:rPr>
                <w:rFonts w:ascii="Arial" w:eastAsia="Times New Roman" w:hAnsi="Arial" w:cs="Arial"/>
              </w:rPr>
            </w:pPr>
          </w:p>
          <w:p w14:paraId="6CF507E4" w14:textId="77777777" w:rsidR="00353F67" w:rsidRDefault="00353F67" w:rsidP="00353F67">
            <w:pPr>
              <w:pStyle w:val="ListParagraph"/>
              <w:spacing w:after="0" w:line="240" w:lineRule="auto"/>
              <w:rPr>
                <w:rFonts w:ascii="Arial" w:eastAsia="Times New Roman" w:hAnsi="Arial" w:cs="Arial"/>
              </w:rPr>
            </w:pPr>
          </w:p>
          <w:p w14:paraId="2448E373" w14:textId="77777777" w:rsidR="00353F67" w:rsidRDefault="00353F67" w:rsidP="00353F67">
            <w:pPr>
              <w:pStyle w:val="ListParagraph"/>
              <w:spacing w:after="0" w:line="240" w:lineRule="auto"/>
              <w:rPr>
                <w:rFonts w:ascii="Arial" w:eastAsia="Times New Roman" w:hAnsi="Arial" w:cs="Arial"/>
              </w:rPr>
            </w:pPr>
          </w:p>
          <w:p w14:paraId="134C9A3E" w14:textId="77777777" w:rsidR="00353F67" w:rsidRDefault="00353F67" w:rsidP="00353F67">
            <w:pPr>
              <w:pStyle w:val="ListParagraph"/>
              <w:spacing w:after="0" w:line="240" w:lineRule="auto"/>
              <w:rPr>
                <w:rFonts w:ascii="Arial" w:eastAsia="Times New Roman" w:hAnsi="Arial" w:cs="Arial"/>
              </w:rPr>
            </w:pPr>
          </w:p>
          <w:p w14:paraId="4FDFE9D2" w14:textId="77777777" w:rsidR="00353F67" w:rsidRDefault="00353F67" w:rsidP="00353F67">
            <w:pPr>
              <w:pStyle w:val="ListParagraph"/>
              <w:spacing w:after="0" w:line="240" w:lineRule="auto"/>
              <w:rPr>
                <w:rFonts w:ascii="Arial" w:eastAsia="Times New Roman" w:hAnsi="Arial" w:cs="Arial"/>
              </w:rPr>
            </w:pPr>
          </w:p>
          <w:p w14:paraId="69C60EB2" w14:textId="77777777" w:rsidR="00353F67" w:rsidRDefault="00353F67" w:rsidP="00353F67">
            <w:pPr>
              <w:pStyle w:val="ListParagraph"/>
              <w:spacing w:after="0" w:line="240" w:lineRule="auto"/>
              <w:rPr>
                <w:rFonts w:ascii="Arial" w:eastAsia="Times New Roman" w:hAnsi="Arial" w:cs="Arial"/>
              </w:rPr>
            </w:pPr>
          </w:p>
          <w:p w14:paraId="0EFCFE1B" w14:textId="77777777" w:rsidR="00353F67" w:rsidRDefault="00353F67" w:rsidP="00353F67">
            <w:pPr>
              <w:pStyle w:val="ListParagraph"/>
              <w:spacing w:after="0" w:line="240" w:lineRule="auto"/>
              <w:rPr>
                <w:rFonts w:ascii="Arial" w:eastAsia="Times New Roman" w:hAnsi="Arial" w:cs="Arial"/>
              </w:rPr>
            </w:pPr>
          </w:p>
          <w:p w14:paraId="7AC79227" w14:textId="77777777" w:rsidR="00353F67" w:rsidRDefault="00353F67" w:rsidP="00353F67">
            <w:pPr>
              <w:pStyle w:val="ListParagraph"/>
              <w:spacing w:after="0" w:line="240" w:lineRule="auto"/>
              <w:rPr>
                <w:rFonts w:ascii="Arial" w:eastAsia="Times New Roman" w:hAnsi="Arial" w:cs="Arial"/>
              </w:rPr>
            </w:pPr>
          </w:p>
          <w:p w14:paraId="693CDFB9" w14:textId="77777777" w:rsidR="00353F67" w:rsidRDefault="00353F67" w:rsidP="00353F67">
            <w:pPr>
              <w:pStyle w:val="ListParagraph"/>
              <w:spacing w:after="0" w:line="240" w:lineRule="auto"/>
              <w:rPr>
                <w:rFonts w:ascii="Arial" w:eastAsia="Times New Roman" w:hAnsi="Arial" w:cs="Arial"/>
              </w:rPr>
            </w:pPr>
          </w:p>
          <w:p w14:paraId="7181F6BA" w14:textId="77777777" w:rsidR="00353F67" w:rsidRDefault="00353F67" w:rsidP="00353F67">
            <w:pPr>
              <w:pStyle w:val="ListParagraph"/>
              <w:spacing w:after="0" w:line="240" w:lineRule="auto"/>
              <w:rPr>
                <w:rFonts w:ascii="Arial" w:eastAsia="Times New Roman" w:hAnsi="Arial" w:cs="Arial"/>
              </w:rPr>
            </w:pPr>
          </w:p>
          <w:p w14:paraId="2361624D" w14:textId="77777777" w:rsidR="00353F67" w:rsidRDefault="00353F67" w:rsidP="00353F67">
            <w:pPr>
              <w:pStyle w:val="ListParagraph"/>
              <w:spacing w:after="0" w:line="240" w:lineRule="auto"/>
              <w:rPr>
                <w:rFonts w:ascii="Arial" w:eastAsia="Times New Roman" w:hAnsi="Arial" w:cs="Arial"/>
              </w:rPr>
            </w:pPr>
          </w:p>
          <w:p w14:paraId="5820390F" w14:textId="77777777" w:rsidR="00353F67" w:rsidRDefault="00353F67" w:rsidP="00353F67">
            <w:pPr>
              <w:pStyle w:val="ListParagraph"/>
              <w:spacing w:after="0" w:line="240" w:lineRule="auto"/>
              <w:rPr>
                <w:rFonts w:ascii="Arial" w:eastAsia="Times New Roman" w:hAnsi="Arial" w:cs="Arial"/>
              </w:rPr>
            </w:pPr>
          </w:p>
          <w:p w14:paraId="30D990FA" w14:textId="77777777" w:rsidR="00353F67" w:rsidRDefault="00353F67" w:rsidP="00353F67">
            <w:pPr>
              <w:pStyle w:val="ListParagraph"/>
              <w:spacing w:after="0" w:line="240" w:lineRule="auto"/>
              <w:rPr>
                <w:rFonts w:ascii="Arial" w:eastAsia="Times New Roman" w:hAnsi="Arial" w:cs="Arial"/>
              </w:rPr>
            </w:pPr>
          </w:p>
          <w:p w14:paraId="5CC2F856" w14:textId="77777777" w:rsidR="00353F67" w:rsidRDefault="00353F67" w:rsidP="00353F67">
            <w:pPr>
              <w:pStyle w:val="ListParagraph"/>
              <w:spacing w:after="0" w:line="240" w:lineRule="auto"/>
              <w:rPr>
                <w:rFonts w:ascii="Arial" w:eastAsia="Times New Roman" w:hAnsi="Arial" w:cs="Arial"/>
              </w:rPr>
            </w:pPr>
          </w:p>
          <w:p w14:paraId="139BB8B1" w14:textId="77777777" w:rsidR="00353F67" w:rsidRDefault="00353F67" w:rsidP="00353F67">
            <w:pPr>
              <w:pStyle w:val="ListParagraph"/>
              <w:spacing w:after="0" w:line="240" w:lineRule="auto"/>
              <w:rPr>
                <w:rFonts w:ascii="Arial" w:eastAsia="Times New Roman" w:hAnsi="Arial" w:cs="Arial"/>
              </w:rPr>
            </w:pPr>
          </w:p>
          <w:p w14:paraId="70C4DC66" w14:textId="77777777" w:rsidR="00353F67" w:rsidRDefault="00353F67" w:rsidP="00353F67">
            <w:pPr>
              <w:pStyle w:val="ListParagraph"/>
              <w:spacing w:after="0" w:line="240" w:lineRule="auto"/>
              <w:rPr>
                <w:rFonts w:ascii="Arial" w:eastAsia="Times New Roman" w:hAnsi="Arial" w:cs="Arial"/>
              </w:rPr>
            </w:pPr>
          </w:p>
          <w:p w14:paraId="2BA8DCBA" w14:textId="77777777" w:rsidR="00353F67" w:rsidRDefault="00353F67" w:rsidP="00353F67">
            <w:pPr>
              <w:pStyle w:val="ListParagraph"/>
              <w:spacing w:after="0" w:line="240" w:lineRule="auto"/>
              <w:rPr>
                <w:rFonts w:ascii="Arial" w:eastAsia="Times New Roman" w:hAnsi="Arial" w:cs="Arial"/>
              </w:rPr>
            </w:pPr>
          </w:p>
          <w:p w14:paraId="1A951C5D" w14:textId="77777777" w:rsidR="00353F67" w:rsidRDefault="00353F67" w:rsidP="00353F67">
            <w:pPr>
              <w:pStyle w:val="ListParagraph"/>
              <w:spacing w:after="0" w:line="240" w:lineRule="auto"/>
              <w:rPr>
                <w:rFonts w:ascii="Arial" w:eastAsia="Times New Roman" w:hAnsi="Arial" w:cs="Arial"/>
              </w:rPr>
            </w:pPr>
          </w:p>
          <w:p w14:paraId="40677281" w14:textId="77777777" w:rsidR="00353F67" w:rsidRDefault="00353F67" w:rsidP="00353F67">
            <w:pPr>
              <w:pStyle w:val="ListParagraph"/>
              <w:spacing w:after="0" w:line="240" w:lineRule="auto"/>
              <w:rPr>
                <w:rFonts w:ascii="Arial" w:eastAsia="Times New Roman" w:hAnsi="Arial" w:cs="Arial"/>
              </w:rPr>
            </w:pPr>
          </w:p>
          <w:p w14:paraId="3A6B2A6F" w14:textId="77777777" w:rsidR="00353F67" w:rsidRDefault="00353F67" w:rsidP="00353F67">
            <w:pPr>
              <w:pStyle w:val="ListParagraph"/>
              <w:spacing w:after="0" w:line="240" w:lineRule="auto"/>
              <w:rPr>
                <w:rFonts w:ascii="Arial" w:eastAsia="Times New Roman" w:hAnsi="Arial" w:cs="Arial"/>
              </w:rPr>
            </w:pPr>
          </w:p>
          <w:p w14:paraId="7A729B3B" w14:textId="0FACA2FA" w:rsidR="00353F67" w:rsidRDefault="00353F67" w:rsidP="00353F67">
            <w:pPr>
              <w:pStyle w:val="ListParagraph"/>
              <w:numPr>
                <w:ilvl w:val="0"/>
                <w:numId w:val="50"/>
              </w:numPr>
              <w:spacing w:after="0" w:line="240" w:lineRule="auto"/>
              <w:rPr>
                <w:rFonts w:ascii="Arial" w:eastAsia="Times New Roman" w:hAnsi="Arial" w:cs="Arial"/>
              </w:rPr>
            </w:pPr>
            <w:r>
              <w:rPr>
                <w:rFonts w:ascii="Arial" w:eastAsia="Times New Roman" w:hAnsi="Arial" w:cs="Arial"/>
              </w:rPr>
              <w:t>Factor 3: Member Impact (this factor is used only to determine when QL should not be applied)</w:t>
            </w:r>
          </w:p>
          <w:p w14:paraId="19BA16FB"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 xml:space="preserve">Source: Internal claims data, internal </w:t>
            </w:r>
            <w:proofErr w:type="gramStart"/>
            <w:r>
              <w:rPr>
                <w:rFonts w:ascii="Arial" w:eastAsia="Times New Roman" w:hAnsi="Arial" w:cs="Arial"/>
              </w:rPr>
              <w:t>market</w:t>
            </w:r>
            <w:proofErr w:type="gramEnd"/>
            <w:r>
              <w:rPr>
                <w:rFonts w:ascii="Arial" w:eastAsia="Times New Roman" w:hAnsi="Arial" w:cs="Arial"/>
              </w:rPr>
              <w:t xml:space="preserve"> and competitive analysis</w:t>
            </w:r>
          </w:p>
          <w:p w14:paraId="13104812" w14:textId="77777777" w:rsidR="00353F67" w:rsidRDefault="00353F67" w:rsidP="00353F67">
            <w:pPr>
              <w:pStyle w:val="ListParagraph"/>
              <w:numPr>
                <w:ilvl w:val="1"/>
                <w:numId w:val="50"/>
              </w:numPr>
              <w:spacing w:after="0" w:line="240" w:lineRule="auto"/>
              <w:rPr>
                <w:rFonts w:ascii="Arial" w:eastAsia="Times New Roman" w:hAnsi="Arial" w:cs="Arial"/>
              </w:rPr>
            </w:pPr>
            <w:r>
              <w:rPr>
                <w:rFonts w:ascii="Arial" w:eastAsia="Times New Roman" w:hAnsi="Arial" w:cs="Arial"/>
              </w:rPr>
              <w:t>Evidentiary Standard: Same as M/S</w:t>
            </w:r>
          </w:p>
          <w:p w14:paraId="72A98672" w14:textId="77777777" w:rsidR="00353F67" w:rsidRDefault="00353F67">
            <w:pPr>
              <w:rPr>
                <w:rFonts w:ascii="Arial" w:eastAsia="Times New Roman" w:hAnsi="Arial" w:cs="Arial"/>
              </w:rPr>
            </w:pPr>
          </w:p>
          <w:p w14:paraId="6C97AE2F" w14:textId="77777777" w:rsidR="00353F67" w:rsidRDefault="00353F67">
            <w:pPr>
              <w:rPr>
                <w:rFonts w:ascii="Arial" w:eastAsia="Times New Roman" w:hAnsi="Arial" w:cs="Arial"/>
              </w:rPr>
            </w:pPr>
          </w:p>
          <w:p w14:paraId="12023B23" w14:textId="77777777" w:rsidR="00353F67" w:rsidRDefault="00353F67">
            <w:pPr>
              <w:rPr>
                <w:rFonts w:ascii="Arial" w:eastAsia="Times New Roman" w:hAnsi="Arial" w:cs="Arial"/>
              </w:rPr>
            </w:pPr>
          </w:p>
        </w:tc>
      </w:tr>
      <w:tr w:rsidR="00353F67" w14:paraId="7491B33F" w14:textId="77777777" w:rsidTr="00353F67">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392D74" w14:textId="77777777" w:rsidR="00353F67" w:rsidRDefault="00353F67">
            <w:pPr>
              <w:rPr>
                <w:rFonts w:ascii="Arial" w:eastAsia="Times New Roman" w:hAnsi="Arial" w:cs="Arial"/>
                <w:bCs/>
              </w:rPr>
            </w:pPr>
            <w:r>
              <w:rPr>
                <w:rFonts w:ascii="Arial" w:eastAsia="Times New Roman" w:hAnsi="Arial"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tc>
      </w:tr>
      <w:tr w:rsidR="00353F67" w14:paraId="0D52E391" w14:textId="77777777" w:rsidTr="00353F67">
        <w:trPr>
          <w:trHeight w:val="1720"/>
        </w:trPr>
        <w:tc>
          <w:tcPr>
            <w:tcW w:w="2500" w:type="pct"/>
            <w:tcBorders>
              <w:top w:val="single" w:sz="4" w:space="0" w:color="auto"/>
              <w:left w:val="single" w:sz="4" w:space="0" w:color="auto"/>
              <w:bottom w:val="single" w:sz="4" w:space="0" w:color="auto"/>
              <w:right w:val="single" w:sz="4" w:space="0" w:color="auto"/>
            </w:tcBorders>
          </w:tcPr>
          <w:p w14:paraId="14967E9C" w14:textId="77777777" w:rsidR="00353F67" w:rsidRDefault="00353F67">
            <w:pPr>
              <w:rPr>
                <w:rFonts w:ascii="Arial" w:eastAsia="Times New Roman" w:hAnsi="Arial" w:cs="Arial"/>
              </w:rPr>
            </w:pPr>
          </w:p>
          <w:p w14:paraId="6C83F0EC" w14:textId="77777777" w:rsidR="00353F67" w:rsidRDefault="00353F67">
            <w:pPr>
              <w:rPr>
                <w:rFonts w:ascii="Arial" w:eastAsia="Times New Roman" w:hAnsi="Arial" w:cs="Arial"/>
              </w:rPr>
            </w:pPr>
            <w:r>
              <w:rPr>
                <w:rFonts w:ascii="Arial" w:eastAsia="Times New Roman" w:hAnsi="Arial" w:cs="Arial"/>
                <w:i/>
              </w:rPr>
              <w:t>Timelines and deadlines, frequency of review</w:t>
            </w:r>
            <w:r>
              <w:rPr>
                <w:rFonts w:ascii="Arial" w:eastAsia="Times New Roman" w:hAnsi="Arial" w:cs="Arial"/>
              </w:rPr>
              <w:t>:</w:t>
            </w:r>
          </w:p>
          <w:p w14:paraId="1CBE8E2A" w14:textId="77777777" w:rsidR="00353F67" w:rsidRDefault="00353F67" w:rsidP="00353F67">
            <w:pPr>
              <w:pStyle w:val="ListParagraph"/>
              <w:numPr>
                <w:ilvl w:val="0"/>
                <w:numId w:val="54"/>
              </w:numPr>
              <w:spacing w:after="0" w:line="240" w:lineRule="auto"/>
              <w:rPr>
                <w:rFonts w:ascii="Arial" w:eastAsia="Times New Roman" w:hAnsi="Arial" w:cs="Arial"/>
              </w:rPr>
            </w:pPr>
            <w:r>
              <w:rPr>
                <w:rFonts w:ascii="Arial" w:eastAsia="Times New Roman" w:hAnsi="Arial" w:cs="Arial"/>
              </w:rPr>
              <w:t xml:space="preserve">Turnaround times for review and either approving or denying a QL exception request are based on state requirements. However, on average across Wellfleet’s book of business QL exception requests are processed within 1 business day. </w:t>
            </w:r>
          </w:p>
          <w:p w14:paraId="5560A19F" w14:textId="77777777" w:rsidR="00353F67" w:rsidRDefault="00353F67" w:rsidP="00353F67">
            <w:pPr>
              <w:pStyle w:val="ListParagraph"/>
              <w:numPr>
                <w:ilvl w:val="0"/>
                <w:numId w:val="54"/>
              </w:numPr>
              <w:spacing w:after="0" w:line="240" w:lineRule="auto"/>
              <w:rPr>
                <w:rFonts w:ascii="Arial" w:eastAsia="Times New Roman" w:hAnsi="Arial" w:cs="Arial"/>
              </w:rPr>
            </w:pPr>
            <w:r>
              <w:rPr>
                <w:rFonts w:ascii="Arial" w:eastAsia="Times New Roman" w:hAnsi="Arial" w:cs="Arial"/>
              </w:rPr>
              <w:t>Authorizations for both M/S and MHSUD drugs are valid for 365 days from approval. Approvals may be for a shorter duration if the FDA labeling guidelines have strict duration of therapy limits or monitoring requirements after initiation. Other exceptions are for products that have regulatory implications, which will be approved based on the regulatory statute.</w:t>
            </w:r>
          </w:p>
          <w:p w14:paraId="77252BB9" w14:textId="77777777" w:rsidR="00353F67" w:rsidRDefault="00353F67" w:rsidP="00353F67">
            <w:pPr>
              <w:pStyle w:val="ListParagraph"/>
              <w:numPr>
                <w:ilvl w:val="0"/>
                <w:numId w:val="54"/>
              </w:numPr>
              <w:spacing w:after="0" w:line="240" w:lineRule="auto"/>
              <w:rPr>
                <w:rFonts w:ascii="Arial" w:eastAsia="Times New Roman" w:hAnsi="Arial" w:cs="Arial"/>
              </w:rPr>
            </w:pPr>
            <w:r>
              <w:rPr>
                <w:rFonts w:ascii="Arial" w:eastAsia="Times New Roman" w:hAnsi="Arial" w:cs="Arial"/>
              </w:rPr>
              <w:t>Appeals turnaround times are the same for all drugs and are dependent on federal and state regulations to ensure compliance.</w:t>
            </w:r>
          </w:p>
          <w:p w14:paraId="680B45AD" w14:textId="77777777" w:rsidR="00353F67" w:rsidRDefault="00353F67">
            <w:pPr>
              <w:rPr>
                <w:rFonts w:ascii="Arial" w:eastAsia="Times New Roman" w:hAnsi="Arial" w:cs="Arial"/>
              </w:rPr>
            </w:pPr>
          </w:p>
          <w:p w14:paraId="137CE63A" w14:textId="77777777" w:rsidR="00353F67" w:rsidRDefault="00353F67">
            <w:pPr>
              <w:rPr>
                <w:rFonts w:ascii="Arial" w:eastAsia="Times New Roman" w:hAnsi="Arial" w:cs="Arial"/>
              </w:rPr>
            </w:pPr>
            <w:r>
              <w:rPr>
                <w:rFonts w:ascii="Arial" w:eastAsia="Times New Roman" w:hAnsi="Arial" w:cs="Arial"/>
                <w:i/>
              </w:rPr>
              <w:t>Forms and/or other information required to be submitted by the provider</w:t>
            </w:r>
            <w:r>
              <w:rPr>
                <w:rFonts w:ascii="Arial" w:eastAsia="Times New Roman" w:hAnsi="Arial" w:cs="Arial"/>
              </w:rPr>
              <w:t>:</w:t>
            </w:r>
          </w:p>
          <w:p w14:paraId="3998F385" w14:textId="77777777" w:rsidR="00353F67" w:rsidRDefault="00353F67" w:rsidP="00353F67">
            <w:pPr>
              <w:pStyle w:val="ListParagraph"/>
              <w:numPr>
                <w:ilvl w:val="0"/>
                <w:numId w:val="54"/>
              </w:numPr>
              <w:spacing w:after="0" w:line="240" w:lineRule="auto"/>
              <w:rPr>
                <w:rFonts w:ascii="Arial" w:eastAsia="Times New Roman" w:hAnsi="Arial" w:cs="Arial"/>
              </w:rPr>
            </w:pPr>
            <w:r>
              <w:rPr>
                <w:rFonts w:ascii="Arial" w:eastAsia="Times New Roman" w:hAnsi="Arial" w:cs="Arial"/>
              </w:rPr>
              <w:t xml:space="preserve">Providers can request Quantity Limit Exceptions by calling Express Scripts Prior Authorization department directly, utilizing </w:t>
            </w:r>
            <w:proofErr w:type="spellStart"/>
            <w:r>
              <w:rPr>
                <w:rFonts w:ascii="Arial" w:eastAsia="Times New Roman" w:hAnsi="Arial" w:cs="Arial"/>
              </w:rPr>
              <w:t>CoverMyMeds</w:t>
            </w:r>
            <w:proofErr w:type="spellEnd"/>
            <w:r>
              <w:rPr>
                <w:rFonts w:ascii="Arial" w:eastAsia="Times New Roman" w:hAnsi="Arial" w:cs="Arial"/>
              </w:rPr>
              <w:t xml:space="preserve">, Express Path, or </w:t>
            </w:r>
            <w:proofErr w:type="spellStart"/>
            <w:r>
              <w:rPr>
                <w:rFonts w:ascii="Arial" w:eastAsia="Times New Roman" w:hAnsi="Arial" w:cs="Arial"/>
              </w:rPr>
              <w:t>SureScripts</w:t>
            </w:r>
            <w:proofErr w:type="spellEnd"/>
            <w:r>
              <w:rPr>
                <w:rFonts w:ascii="Arial" w:eastAsia="Times New Roman" w:hAnsi="Arial" w:cs="Arial"/>
              </w:rPr>
              <w:t xml:space="preserve"> </w:t>
            </w:r>
            <w:proofErr w:type="spellStart"/>
            <w:r>
              <w:rPr>
                <w:rFonts w:ascii="Arial" w:eastAsia="Times New Roman" w:hAnsi="Arial" w:cs="Arial"/>
              </w:rPr>
              <w:t>ePA</w:t>
            </w:r>
            <w:proofErr w:type="spellEnd"/>
            <w:r>
              <w:rPr>
                <w:rFonts w:ascii="Arial" w:eastAsia="Times New Roman" w:hAnsi="Arial" w:cs="Arial"/>
              </w:rPr>
              <w:t xml:space="preserve"> software, or by completing a Prior Authorization Request Form and faxing directly to Express Scripts Prior Authorization department.</w:t>
            </w:r>
          </w:p>
          <w:p w14:paraId="3BC314DA" w14:textId="77777777" w:rsidR="00353F67" w:rsidRDefault="00353F67">
            <w:pPr>
              <w:rPr>
                <w:rFonts w:ascii="Arial" w:eastAsia="Times New Roman" w:hAnsi="Arial" w:cs="Arial"/>
              </w:rPr>
            </w:pPr>
          </w:p>
          <w:p w14:paraId="4603B960" w14:textId="77777777" w:rsidR="00353F67" w:rsidRDefault="00353F67">
            <w:pPr>
              <w:rPr>
                <w:rFonts w:ascii="Arial" w:eastAsia="Times New Roman" w:hAnsi="Arial" w:cs="Arial"/>
              </w:rPr>
            </w:pPr>
            <w:r>
              <w:rPr>
                <w:rFonts w:ascii="Arial" w:eastAsia="Times New Roman" w:hAnsi="Arial" w:cs="Arial"/>
                <w:i/>
              </w:rPr>
              <w:t xml:space="preserve">Utilization management manuals and any other documentation of UM processes that are relied upon to </w:t>
            </w:r>
            <w:proofErr w:type="gramStart"/>
            <w:r>
              <w:rPr>
                <w:rFonts w:ascii="Arial" w:eastAsia="Times New Roman" w:hAnsi="Arial" w:cs="Arial"/>
                <w:i/>
              </w:rPr>
              <w:t>make a determination</w:t>
            </w:r>
            <w:proofErr w:type="gramEnd"/>
            <w:r>
              <w:rPr>
                <w:rFonts w:ascii="Arial" w:eastAsia="Times New Roman" w:hAnsi="Arial" w:cs="Arial"/>
              </w:rPr>
              <w:t>:</w:t>
            </w:r>
          </w:p>
          <w:p w14:paraId="17EB6AF9" w14:textId="77777777" w:rsidR="00353F67" w:rsidRDefault="00353F67" w:rsidP="00353F67">
            <w:pPr>
              <w:pStyle w:val="ListParagraph"/>
              <w:numPr>
                <w:ilvl w:val="0"/>
                <w:numId w:val="54"/>
              </w:numPr>
              <w:spacing w:after="0" w:line="240" w:lineRule="auto"/>
              <w:rPr>
                <w:rFonts w:ascii="Arial" w:eastAsia="Times New Roman" w:hAnsi="Arial" w:cs="Arial"/>
              </w:rPr>
            </w:pPr>
            <w:r>
              <w:rPr>
                <w:rFonts w:ascii="Arial" w:hAnsi="Arial" w:cs="Arial"/>
              </w:rPr>
              <w:t xml:space="preserve">The P&amp;T Policy &amp; Procedures and Formulary Management Policy are reviewed by Wellfleet’s Chief Medical Officer, Director of Clinical Programs, and Clinical Pharmacist, at least annually to ensure there is no verbiage indicating a bias towards any </w:t>
            </w:r>
            <w:proofErr w:type="gramStart"/>
            <w:r>
              <w:rPr>
                <w:rFonts w:ascii="Arial" w:hAnsi="Arial" w:cs="Arial"/>
              </w:rPr>
              <w:t>particular subset</w:t>
            </w:r>
            <w:proofErr w:type="gramEnd"/>
            <w:r>
              <w:rPr>
                <w:rFonts w:ascii="Arial" w:hAnsi="Arial" w:cs="Arial"/>
              </w:rPr>
              <w:t xml:space="preserve"> of drugs. These policies dictate that all decisions should be based </w:t>
            </w:r>
            <w:proofErr w:type="gramStart"/>
            <w:r>
              <w:rPr>
                <w:rFonts w:ascii="Arial" w:hAnsi="Arial" w:cs="Arial"/>
              </w:rPr>
              <w:t>off of</w:t>
            </w:r>
            <w:proofErr w:type="gramEnd"/>
            <w:r>
              <w:rPr>
                <w:rFonts w:ascii="Arial" w:hAnsi="Arial" w:cs="Arial"/>
              </w:rPr>
              <w:t xml:space="preserve"> the clinical merits of the drug, not the classification of </w:t>
            </w:r>
            <w:proofErr w:type="gramStart"/>
            <w:r>
              <w:rPr>
                <w:rFonts w:ascii="Arial" w:hAnsi="Arial" w:cs="Arial"/>
              </w:rPr>
              <w:t>drug</w:t>
            </w:r>
            <w:proofErr w:type="gramEnd"/>
            <w:r>
              <w:rPr>
                <w:rFonts w:ascii="Arial" w:hAnsi="Arial" w:cs="Arial"/>
              </w:rPr>
              <w:t xml:space="preserve"> itself. Quantity Limit is imposed on drug products based on the factors presented previously for both classifications of drugs. In the review of the P&amp;T policy, it is stated that “The clinical decisions made by the P&amp;T Committee are based on sound scientific evidence and standards of practice that include: 1. Assessing peer-reviewed medical literature. 2. Referencing published practice guidelines. 3. Comparing efficacy, side effects, and potential drug interactions among alternative drug therapies. 4. Assessing impact of formulary decisions to patient compliance.” There is also the presence of a non-discriminatory section, stating that members shall not “discriminate based on age, disability, race, ethnicity, gender, sexual orientation, or health status.” Members non-adhering to either of these statements will be recused from the committee. No recusals have been a result of non-adherence to these policies.</w:t>
            </w:r>
          </w:p>
          <w:p w14:paraId="3D7396CB" w14:textId="77777777" w:rsidR="00353F67" w:rsidRDefault="00353F67">
            <w:pPr>
              <w:rPr>
                <w:rFonts w:ascii="Arial" w:eastAsia="Times New Roman" w:hAnsi="Arial" w:cs="Arial"/>
              </w:rPr>
            </w:pPr>
          </w:p>
          <w:p w14:paraId="166CB667" w14:textId="77777777" w:rsidR="00353F67" w:rsidRDefault="00353F67">
            <w:pPr>
              <w:rPr>
                <w:rFonts w:ascii="Arial" w:eastAsia="Times New Roman" w:hAnsi="Arial" w:cs="Arial"/>
                <w:i/>
                <w:iCs/>
              </w:rPr>
            </w:pPr>
            <w:r>
              <w:rPr>
                <w:rFonts w:ascii="Arial" w:eastAsia="Times New Roman" w:hAnsi="Arial" w:cs="Arial"/>
                <w:i/>
                <w:iCs/>
              </w:rPr>
              <w:t xml:space="preserve">Relevant </w:t>
            </w:r>
            <w:proofErr w:type="gramStart"/>
            <w:r>
              <w:rPr>
                <w:rFonts w:ascii="Arial" w:eastAsia="Times New Roman" w:hAnsi="Arial" w:cs="Arial"/>
                <w:i/>
                <w:iCs/>
              </w:rPr>
              <w:t>Decision Making</w:t>
            </w:r>
            <w:proofErr w:type="gramEnd"/>
            <w:r>
              <w:rPr>
                <w:rFonts w:ascii="Arial" w:eastAsia="Times New Roman" w:hAnsi="Arial" w:cs="Arial"/>
                <w:i/>
                <w:iCs/>
              </w:rPr>
              <w:t xml:space="preserve"> Committees </w:t>
            </w:r>
          </w:p>
          <w:p w14:paraId="639E39EC" w14:textId="77777777" w:rsidR="00353F67" w:rsidRDefault="00353F67" w:rsidP="00353F67">
            <w:pPr>
              <w:pStyle w:val="ListParagraph"/>
              <w:numPr>
                <w:ilvl w:val="0"/>
                <w:numId w:val="54"/>
              </w:numPr>
              <w:spacing w:after="0" w:line="240" w:lineRule="auto"/>
              <w:rPr>
                <w:rFonts w:ascii="Arial" w:eastAsia="Times New Roman" w:hAnsi="Arial" w:cs="Arial"/>
                <w:i/>
                <w:iCs/>
              </w:rPr>
            </w:pPr>
            <w:r>
              <w:rPr>
                <w:rFonts w:ascii="Arial" w:eastAsia="Times New Roman" w:hAnsi="Arial" w:cs="Arial"/>
              </w:rPr>
              <w:t>P&amp;T Committee</w:t>
            </w:r>
          </w:p>
          <w:p w14:paraId="48210EE4" w14:textId="77777777" w:rsidR="00353F67" w:rsidRDefault="00353F67" w:rsidP="00353F67">
            <w:pPr>
              <w:pStyle w:val="ListParagraph"/>
              <w:numPr>
                <w:ilvl w:val="1"/>
                <w:numId w:val="54"/>
              </w:numPr>
              <w:spacing w:after="0" w:line="240" w:lineRule="auto"/>
              <w:rPr>
                <w:rFonts w:ascii="Arial" w:eastAsia="Times New Roman" w:hAnsi="Arial" w:cs="Arial"/>
              </w:rPr>
            </w:pPr>
            <w:r>
              <w:rPr>
                <w:rFonts w:ascii="Arial" w:eastAsia="Times New Roman" w:hAnsi="Arial" w:cs="Arial"/>
              </w:rPr>
              <w:t>The P&amp;T Committee is responsible for assessing the clinical merits of drug therapies. The committee shall provide clinical rationale and guidance on appropriate quantities/dosing. The Value Assessment Committee (VAC) follows the P&amp;T Committee recommendations to finalize any quantity limit decisions.</w:t>
            </w:r>
          </w:p>
          <w:p w14:paraId="374519D8" w14:textId="77777777" w:rsidR="00353F67" w:rsidRDefault="00353F67" w:rsidP="00353F67">
            <w:pPr>
              <w:pStyle w:val="ListParagraph"/>
              <w:numPr>
                <w:ilvl w:val="1"/>
                <w:numId w:val="54"/>
              </w:numPr>
              <w:spacing w:after="0" w:line="240" w:lineRule="auto"/>
              <w:rPr>
                <w:rFonts w:ascii="Arial" w:eastAsia="Times New Roman" w:hAnsi="Arial" w:cs="Arial"/>
              </w:rPr>
            </w:pPr>
            <w:r>
              <w:rPr>
                <w:rFonts w:ascii="Arial" w:eastAsia="Times New Roman" w:hAnsi="Arial" w:cs="Arial"/>
              </w:rPr>
              <w:t>The P&amp;T Committee is responsible for approving any new Utilization Management policies (guidelines) or negative changes (any change creating a larger barrier to member access) to these guidelines. If a guideline change includes any criteria that differs from the FDA approved labeling information, it will also require justification and approval from the P&amp;T Committee. Guidelines shall also be reviewed annually for approval. At each P&amp;T meeting, the new, updated, and a quarter of all other guidelines will be discussed and approved/denied.</w:t>
            </w:r>
          </w:p>
          <w:p w14:paraId="70FD4536" w14:textId="77777777" w:rsidR="00353F67" w:rsidRDefault="00353F67" w:rsidP="00353F67">
            <w:pPr>
              <w:pStyle w:val="ListParagraph"/>
              <w:numPr>
                <w:ilvl w:val="0"/>
                <w:numId w:val="54"/>
              </w:numPr>
              <w:spacing w:after="0" w:line="240" w:lineRule="auto"/>
              <w:rPr>
                <w:rFonts w:ascii="Arial" w:eastAsia="Times New Roman" w:hAnsi="Arial" w:cs="Arial"/>
              </w:rPr>
            </w:pPr>
            <w:r>
              <w:rPr>
                <w:rFonts w:ascii="Arial" w:eastAsia="Times New Roman" w:hAnsi="Arial" w:cs="Arial"/>
              </w:rPr>
              <w:t>Value Assessment Committee (VAC)</w:t>
            </w:r>
          </w:p>
          <w:p w14:paraId="4205E6DC" w14:textId="475B7E88" w:rsidR="00353F67" w:rsidRPr="00353F67" w:rsidRDefault="00353F67" w:rsidP="00353F67">
            <w:pPr>
              <w:pStyle w:val="ListParagraph"/>
              <w:numPr>
                <w:ilvl w:val="1"/>
                <w:numId w:val="54"/>
              </w:numPr>
              <w:spacing w:after="0" w:line="240" w:lineRule="auto"/>
              <w:rPr>
                <w:rFonts w:ascii="Arial" w:eastAsia="Times New Roman" w:hAnsi="Arial" w:cs="Arial"/>
              </w:rPr>
            </w:pPr>
            <w:r>
              <w:rPr>
                <w:rFonts w:ascii="Arial" w:eastAsia="Times New Roman" w:hAnsi="Arial" w:cs="Arial"/>
              </w:rPr>
              <w:t>The VAC is responsible for determining tiering and Utilization Management decisions for drugs that are designated as ‘include’ by the P&amp;T Committee. These drugs shall not be removed from formulary without prior approval from the P&amp;T Committee. Also, determining coverage, tiering, and Utilization Management decisions for drugs that are designated as ‘optional’ by the P&amp;T Committee. The VAC shall use clinical notes from P&amp;T, along with other sources listed above, to make quantity limit determinations.</w:t>
            </w:r>
          </w:p>
          <w:p w14:paraId="77765FFC" w14:textId="77777777" w:rsidR="00353F67" w:rsidRDefault="00353F67">
            <w:pPr>
              <w:rPr>
                <w:rFonts w:ascii="Arial" w:eastAsia="Times New Roman" w:hAnsi="Arial" w:cs="Arial"/>
              </w:rPr>
            </w:pPr>
          </w:p>
          <w:p w14:paraId="134D2D20" w14:textId="77777777" w:rsidR="00353F67" w:rsidRDefault="00353F67">
            <w:pPr>
              <w:rPr>
                <w:rFonts w:ascii="Arial" w:eastAsia="Times New Roman" w:hAnsi="Arial" w:cs="Arial"/>
              </w:rPr>
            </w:pPr>
            <w:r>
              <w:rPr>
                <w:rFonts w:ascii="Arial" w:eastAsia="Times New Roman" w:hAnsi="Arial" w:cs="Arial"/>
                <w:i/>
              </w:rPr>
              <w:t>Minimum qualifications for reviewers</w:t>
            </w:r>
            <w:r>
              <w:rPr>
                <w:rFonts w:ascii="Arial" w:eastAsia="Times New Roman" w:hAnsi="Arial" w:cs="Arial"/>
              </w:rPr>
              <w:t>:</w:t>
            </w:r>
          </w:p>
          <w:p w14:paraId="12C8F1BB" w14:textId="77777777" w:rsidR="00353F67" w:rsidRDefault="00353F67" w:rsidP="00353F67">
            <w:pPr>
              <w:pStyle w:val="ListParagraph"/>
              <w:numPr>
                <w:ilvl w:val="0"/>
                <w:numId w:val="54"/>
              </w:numPr>
              <w:spacing w:after="0" w:line="240" w:lineRule="auto"/>
              <w:rPr>
                <w:rFonts w:ascii="Arial" w:eastAsia="Times New Roman" w:hAnsi="Arial" w:cs="Arial"/>
              </w:rPr>
            </w:pPr>
            <w:r>
              <w:rPr>
                <w:rFonts w:ascii="Arial" w:eastAsia="Times New Roman" w:hAnsi="Arial" w:cs="Arial"/>
              </w:rPr>
              <w:t xml:space="preserve">To become members of the P&amp;T Committee, the physicians must be board certified licensed physicians with over 5 years of experience in their respective fields. We use the clinical expertise of the P&amp;T Committee members along with published clinical guidelines and scientific evidence to achieve consensus </w:t>
            </w:r>
            <w:proofErr w:type="gramStart"/>
            <w:r>
              <w:rPr>
                <w:rFonts w:ascii="Arial" w:eastAsia="Times New Roman" w:hAnsi="Arial" w:cs="Arial"/>
              </w:rPr>
              <w:t>in order to</w:t>
            </w:r>
            <w:proofErr w:type="gramEnd"/>
            <w:r>
              <w:rPr>
                <w:rFonts w:ascii="Arial" w:eastAsia="Times New Roman" w:hAnsi="Arial" w:cs="Arial"/>
              </w:rPr>
              <w:t xml:space="preserve"> set Quantity Limits.</w:t>
            </w:r>
          </w:p>
          <w:p w14:paraId="41EE42E3" w14:textId="77777777" w:rsidR="00353F67" w:rsidRDefault="00353F67" w:rsidP="00353F67">
            <w:pPr>
              <w:pStyle w:val="ListParagraph"/>
              <w:numPr>
                <w:ilvl w:val="0"/>
                <w:numId w:val="54"/>
              </w:numPr>
              <w:spacing w:after="0" w:line="240" w:lineRule="auto"/>
              <w:rPr>
                <w:rFonts w:ascii="Arial" w:eastAsia="Times New Roman" w:hAnsi="Arial" w:cs="Arial"/>
              </w:rPr>
            </w:pPr>
            <w:r>
              <w:rPr>
                <w:rFonts w:ascii="Arial" w:eastAsia="Times New Roman" w:hAnsi="Arial" w:cs="Arial"/>
              </w:rPr>
              <w:t>Every PAR, UMP, Nurse, and Medical Director goes through extensive training to make sure we are providing the most complete and comprehensive service for each one of our members. The training consists of both in classroom, on the job shadowing, monthly quality reviewing of cases, and weekly meetings to provide any new/updated information that needs to be shared with the teams.</w:t>
            </w:r>
          </w:p>
          <w:p w14:paraId="6C88E1E4" w14:textId="77777777" w:rsidR="00353F67" w:rsidRDefault="00353F67">
            <w:pPr>
              <w:rPr>
                <w:rFonts w:ascii="Arial" w:eastAsia="Times New Roman" w:hAnsi="Arial" w:cs="Arial"/>
              </w:rPr>
            </w:pPr>
          </w:p>
          <w:p w14:paraId="5A4EE974" w14:textId="77777777" w:rsidR="00353F67" w:rsidRDefault="00353F67">
            <w:pPr>
              <w:rPr>
                <w:rFonts w:ascii="Arial" w:eastAsia="Times New Roman" w:hAnsi="Arial" w:cs="Arial"/>
              </w:rPr>
            </w:pPr>
            <w:r>
              <w:rPr>
                <w:rFonts w:ascii="Arial" w:eastAsia="Times New Roman" w:hAnsi="Arial" w:cs="Arial"/>
                <w:i/>
              </w:rPr>
              <w:t>Minimum standards to issue a denial</w:t>
            </w:r>
            <w:r>
              <w:rPr>
                <w:rFonts w:ascii="Arial" w:eastAsia="Times New Roman" w:hAnsi="Arial" w:cs="Arial"/>
              </w:rPr>
              <w:t>:</w:t>
            </w:r>
          </w:p>
          <w:p w14:paraId="205EEA46" w14:textId="77777777" w:rsidR="00353F67" w:rsidRDefault="00353F67" w:rsidP="00353F67">
            <w:pPr>
              <w:pStyle w:val="ListParagraph"/>
              <w:numPr>
                <w:ilvl w:val="0"/>
                <w:numId w:val="54"/>
              </w:numPr>
              <w:spacing w:after="0" w:line="240" w:lineRule="auto"/>
              <w:rPr>
                <w:rFonts w:ascii="Arial" w:eastAsia="Times New Roman" w:hAnsi="Arial" w:cs="Arial"/>
              </w:rPr>
            </w:pPr>
            <w:r>
              <w:rPr>
                <w:rFonts w:ascii="Arial" w:eastAsia="Times New Roman" w:hAnsi="Arial" w:cs="Arial"/>
              </w:rPr>
              <w:t xml:space="preserve">If a prescription exceeds the designated quantity limit, the filling pharmacy will be issued a denial. If the member and provider elect to request an exception, they will be asked to submit documentation in support of use of the product. The exact process can be seen in Wellfleet’s PA guideline packet at </w:t>
            </w:r>
            <w:hyperlink r:id="rId24" w:history="1">
              <w:r>
                <w:rPr>
                  <w:rStyle w:val="Hyperlink"/>
                  <w:rFonts w:ascii="Arial" w:eastAsia="Times New Roman" w:hAnsi="Arial" w:cs="Arial"/>
                </w:rPr>
                <w:t>www.Wellfleetrx.com/formularies</w:t>
              </w:r>
            </w:hyperlink>
            <w:r>
              <w:rPr>
                <w:rFonts w:ascii="Arial" w:eastAsia="Times New Roman" w:hAnsi="Arial" w:cs="Arial"/>
              </w:rPr>
              <w:t>. This process is the same for both M/S and MH/SUD drugs.</w:t>
            </w:r>
          </w:p>
          <w:p w14:paraId="744E3ED1" w14:textId="77777777" w:rsidR="00353F67" w:rsidRDefault="00353F67">
            <w:pPr>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78CCCB63" w14:textId="77777777" w:rsidR="00353F67" w:rsidRDefault="00353F67">
            <w:pPr>
              <w:rPr>
                <w:rFonts w:ascii="Arial" w:eastAsia="Times New Roman" w:hAnsi="Arial" w:cs="Arial"/>
              </w:rPr>
            </w:pPr>
          </w:p>
          <w:p w14:paraId="63A391B8" w14:textId="77777777" w:rsidR="00353F67" w:rsidRDefault="00353F67">
            <w:pPr>
              <w:rPr>
                <w:rFonts w:ascii="Arial" w:eastAsia="Times New Roman" w:hAnsi="Arial" w:cs="Arial"/>
              </w:rPr>
            </w:pPr>
            <w:r>
              <w:rPr>
                <w:rFonts w:ascii="Arial" w:eastAsia="Times New Roman" w:hAnsi="Arial" w:cs="Arial"/>
                <w:i/>
              </w:rPr>
              <w:t>Timelines and deadlines, frequency of review</w:t>
            </w:r>
            <w:r>
              <w:rPr>
                <w:rFonts w:ascii="Arial" w:eastAsia="Times New Roman" w:hAnsi="Arial" w:cs="Arial"/>
              </w:rPr>
              <w:t>:</w:t>
            </w:r>
          </w:p>
          <w:p w14:paraId="151A2A52" w14:textId="77777777" w:rsidR="00353F67" w:rsidRDefault="00353F67" w:rsidP="00353F67">
            <w:pPr>
              <w:pStyle w:val="ListParagraph"/>
              <w:numPr>
                <w:ilvl w:val="0"/>
                <w:numId w:val="55"/>
              </w:numPr>
              <w:spacing w:after="0" w:line="240" w:lineRule="auto"/>
              <w:rPr>
                <w:rFonts w:ascii="Arial" w:eastAsia="Times New Roman" w:hAnsi="Arial" w:cs="Arial"/>
              </w:rPr>
            </w:pPr>
            <w:r>
              <w:rPr>
                <w:rFonts w:ascii="Arial" w:eastAsia="Times New Roman" w:hAnsi="Arial" w:cs="Arial"/>
              </w:rPr>
              <w:t>Same as M/S</w:t>
            </w:r>
          </w:p>
          <w:p w14:paraId="27D6438A" w14:textId="77777777" w:rsidR="00353F67" w:rsidRDefault="00353F67">
            <w:pPr>
              <w:rPr>
                <w:rFonts w:ascii="Arial" w:eastAsia="Times New Roman" w:hAnsi="Arial" w:cs="Arial"/>
              </w:rPr>
            </w:pPr>
          </w:p>
          <w:p w14:paraId="61E9BE00" w14:textId="77777777" w:rsidR="00353F67" w:rsidRDefault="00353F67">
            <w:pPr>
              <w:rPr>
                <w:rFonts w:ascii="Arial" w:eastAsia="Times New Roman" w:hAnsi="Arial" w:cs="Arial"/>
              </w:rPr>
            </w:pPr>
          </w:p>
          <w:p w14:paraId="5F2B0108" w14:textId="77777777" w:rsidR="00353F67" w:rsidRDefault="00353F67">
            <w:pPr>
              <w:rPr>
                <w:rFonts w:ascii="Arial" w:eastAsia="Times New Roman" w:hAnsi="Arial" w:cs="Arial"/>
              </w:rPr>
            </w:pPr>
          </w:p>
          <w:p w14:paraId="0FD3737D" w14:textId="77777777" w:rsidR="00353F67" w:rsidRDefault="00353F67">
            <w:pPr>
              <w:rPr>
                <w:rFonts w:ascii="Arial" w:eastAsia="Times New Roman" w:hAnsi="Arial" w:cs="Arial"/>
              </w:rPr>
            </w:pPr>
          </w:p>
          <w:p w14:paraId="3E02453F" w14:textId="77777777" w:rsidR="00353F67" w:rsidRDefault="00353F67">
            <w:pPr>
              <w:rPr>
                <w:rFonts w:ascii="Arial" w:eastAsia="Times New Roman" w:hAnsi="Arial" w:cs="Arial"/>
              </w:rPr>
            </w:pPr>
          </w:p>
          <w:p w14:paraId="78275C9F" w14:textId="77777777" w:rsidR="00353F67" w:rsidRDefault="00353F67">
            <w:pPr>
              <w:rPr>
                <w:rFonts w:ascii="Arial" w:eastAsia="Times New Roman" w:hAnsi="Arial" w:cs="Arial"/>
              </w:rPr>
            </w:pPr>
          </w:p>
          <w:p w14:paraId="19193EB1" w14:textId="77777777" w:rsidR="00353F67" w:rsidRDefault="00353F67">
            <w:pPr>
              <w:rPr>
                <w:rFonts w:ascii="Arial" w:eastAsia="Times New Roman" w:hAnsi="Arial" w:cs="Arial"/>
              </w:rPr>
            </w:pPr>
          </w:p>
          <w:p w14:paraId="27FAFB8F" w14:textId="77777777" w:rsidR="00353F67" w:rsidRDefault="00353F67">
            <w:pPr>
              <w:rPr>
                <w:rFonts w:ascii="Arial" w:eastAsia="Times New Roman" w:hAnsi="Arial" w:cs="Arial"/>
              </w:rPr>
            </w:pPr>
          </w:p>
          <w:p w14:paraId="00C09DFB" w14:textId="77777777" w:rsidR="00353F67" w:rsidRDefault="00353F67">
            <w:pPr>
              <w:rPr>
                <w:rFonts w:ascii="Arial" w:eastAsia="Times New Roman" w:hAnsi="Arial" w:cs="Arial"/>
              </w:rPr>
            </w:pPr>
          </w:p>
          <w:p w14:paraId="64BEBF8E" w14:textId="77777777" w:rsidR="00353F67" w:rsidRDefault="00353F67">
            <w:pPr>
              <w:rPr>
                <w:rFonts w:ascii="Arial" w:eastAsia="Times New Roman" w:hAnsi="Arial" w:cs="Arial"/>
              </w:rPr>
            </w:pPr>
          </w:p>
          <w:p w14:paraId="7886DABF" w14:textId="77777777" w:rsidR="00353F67" w:rsidRDefault="00353F67">
            <w:pPr>
              <w:rPr>
                <w:rFonts w:ascii="Arial" w:eastAsia="Times New Roman" w:hAnsi="Arial" w:cs="Arial"/>
              </w:rPr>
            </w:pPr>
          </w:p>
          <w:p w14:paraId="6882D868" w14:textId="77777777" w:rsidR="00353F67" w:rsidRDefault="00353F67">
            <w:pPr>
              <w:rPr>
                <w:rFonts w:ascii="Arial" w:eastAsia="Times New Roman" w:hAnsi="Arial" w:cs="Arial"/>
              </w:rPr>
            </w:pPr>
          </w:p>
          <w:p w14:paraId="7EB4F3E8" w14:textId="77777777" w:rsidR="00353F67" w:rsidRDefault="00353F67">
            <w:pPr>
              <w:rPr>
                <w:rFonts w:ascii="Arial" w:eastAsia="Times New Roman" w:hAnsi="Arial" w:cs="Arial"/>
              </w:rPr>
            </w:pPr>
          </w:p>
          <w:p w14:paraId="7EFDFB38" w14:textId="77777777" w:rsidR="00353F67" w:rsidRDefault="00353F67">
            <w:pPr>
              <w:rPr>
                <w:rFonts w:ascii="Arial" w:eastAsia="Times New Roman" w:hAnsi="Arial" w:cs="Arial"/>
              </w:rPr>
            </w:pPr>
            <w:r>
              <w:rPr>
                <w:rFonts w:ascii="Arial" w:eastAsia="Times New Roman" w:hAnsi="Arial" w:cs="Arial"/>
                <w:i/>
              </w:rPr>
              <w:t>Forms and/or other information required to be submitted by the provider</w:t>
            </w:r>
            <w:r>
              <w:rPr>
                <w:rFonts w:ascii="Arial" w:eastAsia="Times New Roman" w:hAnsi="Arial" w:cs="Arial"/>
              </w:rPr>
              <w:t>:</w:t>
            </w:r>
          </w:p>
          <w:p w14:paraId="709BA1EE" w14:textId="77777777" w:rsidR="00353F67" w:rsidRDefault="00353F67" w:rsidP="00353F67">
            <w:pPr>
              <w:pStyle w:val="ListParagraph"/>
              <w:numPr>
                <w:ilvl w:val="0"/>
                <w:numId w:val="55"/>
              </w:numPr>
              <w:spacing w:after="0" w:line="240" w:lineRule="auto"/>
              <w:rPr>
                <w:rFonts w:ascii="Arial" w:eastAsia="Times New Roman" w:hAnsi="Arial" w:cs="Arial"/>
              </w:rPr>
            </w:pPr>
            <w:r>
              <w:rPr>
                <w:rFonts w:ascii="Arial" w:eastAsia="Times New Roman" w:hAnsi="Arial" w:cs="Arial"/>
              </w:rPr>
              <w:t>Same as M/S</w:t>
            </w:r>
          </w:p>
          <w:p w14:paraId="1DA01AC7" w14:textId="77777777" w:rsidR="00353F67" w:rsidRDefault="00353F67">
            <w:pPr>
              <w:rPr>
                <w:rFonts w:ascii="Arial" w:eastAsia="Times New Roman" w:hAnsi="Arial" w:cs="Arial"/>
              </w:rPr>
            </w:pPr>
          </w:p>
          <w:p w14:paraId="22300CC0" w14:textId="77777777" w:rsidR="00353F67" w:rsidRDefault="00353F67">
            <w:pPr>
              <w:rPr>
                <w:rFonts w:ascii="Arial" w:eastAsia="Times New Roman" w:hAnsi="Arial" w:cs="Arial"/>
              </w:rPr>
            </w:pPr>
          </w:p>
          <w:p w14:paraId="2865EE07" w14:textId="77777777" w:rsidR="00353F67" w:rsidRDefault="00353F67">
            <w:pPr>
              <w:rPr>
                <w:rFonts w:ascii="Arial" w:eastAsia="Times New Roman" w:hAnsi="Arial" w:cs="Arial"/>
              </w:rPr>
            </w:pPr>
          </w:p>
          <w:p w14:paraId="76BCC96B" w14:textId="77777777" w:rsidR="00353F67" w:rsidRDefault="00353F67">
            <w:pPr>
              <w:rPr>
                <w:rFonts w:ascii="Arial" w:eastAsia="Times New Roman" w:hAnsi="Arial" w:cs="Arial"/>
              </w:rPr>
            </w:pPr>
          </w:p>
          <w:p w14:paraId="696958EF" w14:textId="77777777" w:rsidR="00353F67" w:rsidRDefault="00353F67">
            <w:pPr>
              <w:rPr>
                <w:rFonts w:ascii="Arial" w:eastAsia="Times New Roman" w:hAnsi="Arial" w:cs="Arial"/>
              </w:rPr>
            </w:pPr>
          </w:p>
          <w:p w14:paraId="0985B33A" w14:textId="77777777" w:rsidR="00353F67" w:rsidRDefault="00353F67">
            <w:pPr>
              <w:rPr>
                <w:rFonts w:ascii="Arial" w:eastAsia="Times New Roman" w:hAnsi="Arial" w:cs="Arial"/>
              </w:rPr>
            </w:pPr>
            <w:r>
              <w:rPr>
                <w:rFonts w:ascii="Arial" w:eastAsia="Times New Roman" w:hAnsi="Arial" w:cs="Arial"/>
                <w:i/>
              </w:rPr>
              <w:t xml:space="preserve">Utilization management manuals and any other documentation of UM processes that are relied upon to </w:t>
            </w:r>
            <w:proofErr w:type="gramStart"/>
            <w:r>
              <w:rPr>
                <w:rFonts w:ascii="Arial" w:eastAsia="Times New Roman" w:hAnsi="Arial" w:cs="Arial"/>
                <w:i/>
              </w:rPr>
              <w:t>make a determination</w:t>
            </w:r>
            <w:proofErr w:type="gramEnd"/>
            <w:r>
              <w:rPr>
                <w:rFonts w:ascii="Arial" w:eastAsia="Times New Roman" w:hAnsi="Arial" w:cs="Arial"/>
              </w:rPr>
              <w:t>:</w:t>
            </w:r>
          </w:p>
          <w:p w14:paraId="693968D9" w14:textId="77777777" w:rsidR="00353F67" w:rsidRDefault="00353F67" w:rsidP="00353F67">
            <w:pPr>
              <w:pStyle w:val="ListParagraph"/>
              <w:numPr>
                <w:ilvl w:val="0"/>
                <w:numId w:val="55"/>
              </w:numPr>
              <w:spacing w:after="0" w:line="240" w:lineRule="auto"/>
              <w:rPr>
                <w:rFonts w:ascii="Arial" w:eastAsia="Times New Roman" w:hAnsi="Arial" w:cs="Arial"/>
              </w:rPr>
            </w:pPr>
            <w:r>
              <w:rPr>
                <w:rFonts w:ascii="Arial" w:eastAsia="Times New Roman" w:hAnsi="Arial" w:cs="Arial"/>
              </w:rPr>
              <w:t>Same as M/S</w:t>
            </w:r>
          </w:p>
          <w:p w14:paraId="5A783030" w14:textId="77777777" w:rsidR="00353F67" w:rsidRDefault="00353F67">
            <w:pPr>
              <w:rPr>
                <w:rFonts w:ascii="Arial" w:eastAsia="Times New Roman" w:hAnsi="Arial" w:cs="Arial"/>
              </w:rPr>
            </w:pPr>
          </w:p>
          <w:p w14:paraId="4FDD75BB" w14:textId="77777777" w:rsidR="00353F67" w:rsidRDefault="00353F67">
            <w:pPr>
              <w:rPr>
                <w:rFonts w:ascii="Arial" w:eastAsia="Times New Roman" w:hAnsi="Arial" w:cs="Arial"/>
              </w:rPr>
            </w:pPr>
          </w:p>
          <w:p w14:paraId="7DFA6E08" w14:textId="77777777" w:rsidR="00353F67" w:rsidRDefault="00353F67">
            <w:pPr>
              <w:rPr>
                <w:rFonts w:ascii="Arial" w:eastAsia="Times New Roman" w:hAnsi="Arial" w:cs="Arial"/>
              </w:rPr>
            </w:pPr>
          </w:p>
          <w:p w14:paraId="0B5C26B7" w14:textId="77777777" w:rsidR="00353F67" w:rsidRDefault="00353F67">
            <w:pPr>
              <w:rPr>
                <w:rFonts w:ascii="Arial" w:eastAsia="Times New Roman" w:hAnsi="Arial" w:cs="Arial"/>
              </w:rPr>
            </w:pPr>
          </w:p>
          <w:p w14:paraId="6945ED0E" w14:textId="77777777" w:rsidR="00353F67" w:rsidRDefault="00353F67">
            <w:pPr>
              <w:rPr>
                <w:rFonts w:ascii="Arial" w:eastAsia="Times New Roman" w:hAnsi="Arial" w:cs="Arial"/>
              </w:rPr>
            </w:pPr>
          </w:p>
          <w:p w14:paraId="3AA4233A" w14:textId="77777777" w:rsidR="00353F67" w:rsidRDefault="00353F67">
            <w:pPr>
              <w:rPr>
                <w:rFonts w:ascii="Arial" w:eastAsia="Times New Roman" w:hAnsi="Arial" w:cs="Arial"/>
              </w:rPr>
            </w:pPr>
          </w:p>
          <w:p w14:paraId="45E84C8D" w14:textId="77777777" w:rsidR="00353F67" w:rsidRDefault="00353F67">
            <w:pPr>
              <w:rPr>
                <w:rFonts w:ascii="Arial" w:eastAsia="Times New Roman" w:hAnsi="Arial" w:cs="Arial"/>
              </w:rPr>
            </w:pPr>
          </w:p>
          <w:p w14:paraId="7BCD86F3" w14:textId="77777777" w:rsidR="00353F67" w:rsidRDefault="00353F67">
            <w:pPr>
              <w:rPr>
                <w:rFonts w:ascii="Arial" w:eastAsia="Times New Roman" w:hAnsi="Arial" w:cs="Arial"/>
              </w:rPr>
            </w:pPr>
          </w:p>
          <w:p w14:paraId="16BF0E4B" w14:textId="77777777" w:rsidR="00353F67" w:rsidRDefault="00353F67">
            <w:pPr>
              <w:rPr>
                <w:rFonts w:ascii="Arial" w:eastAsia="Times New Roman" w:hAnsi="Arial" w:cs="Arial"/>
              </w:rPr>
            </w:pPr>
          </w:p>
          <w:p w14:paraId="3A940A05" w14:textId="77777777" w:rsidR="00353F67" w:rsidRDefault="00353F67">
            <w:pPr>
              <w:rPr>
                <w:rFonts w:ascii="Arial" w:eastAsia="Times New Roman" w:hAnsi="Arial" w:cs="Arial"/>
              </w:rPr>
            </w:pPr>
          </w:p>
          <w:p w14:paraId="5C513330" w14:textId="77777777" w:rsidR="00353F67" w:rsidRDefault="00353F67">
            <w:pPr>
              <w:rPr>
                <w:rFonts w:ascii="Arial" w:eastAsia="Times New Roman" w:hAnsi="Arial" w:cs="Arial"/>
              </w:rPr>
            </w:pPr>
          </w:p>
          <w:p w14:paraId="32259C51" w14:textId="77777777" w:rsidR="00353F67" w:rsidRDefault="00353F67">
            <w:pPr>
              <w:rPr>
                <w:rFonts w:ascii="Arial" w:eastAsia="Times New Roman" w:hAnsi="Arial" w:cs="Arial"/>
              </w:rPr>
            </w:pPr>
          </w:p>
          <w:p w14:paraId="67EAAE22" w14:textId="77777777" w:rsidR="00353F67" w:rsidRDefault="00353F67">
            <w:pPr>
              <w:rPr>
                <w:rFonts w:ascii="Arial" w:eastAsia="Times New Roman" w:hAnsi="Arial" w:cs="Arial"/>
              </w:rPr>
            </w:pPr>
          </w:p>
          <w:p w14:paraId="31273EF8" w14:textId="77777777" w:rsidR="00353F67" w:rsidRDefault="00353F67">
            <w:pPr>
              <w:rPr>
                <w:rFonts w:ascii="Arial" w:eastAsia="Times New Roman" w:hAnsi="Arial" w:cs="Arial"/>
              </w:rPr>
            </w:pPr>
          </w:p>
          <w:p w14:paraId="49A78A28" w14:textId="77777777" w:rsidR="00353F67" w:rsidRDefault="00353F67">
            <w:pPr>
              <w:rPr>
                <w:rFonts w:ascii="Arial" w:eastAsia="Times New Roman" w:hAnsi="Arial" w:cs="Arial"/>
              </w:rPr>
            </w:pPr>
          </w:p>
          <w:p w14:paraId="3B6C071C" w14:textId="77777777" w:rsidR="00353F67" w:rsidRDefault="00353F67">
            <w:pPr>
              <w:rPr>
                <w:rFonts w:ascii="Arial" w:eastAsia="Times New Roman" w:hAnsi="Arial" w:cs="Arial"/>
              </w:rPr>
            </w:pPr>
          </w:p>
          <w:p w14:paraId="3A598A33" w14:textId="77777777" w:rsidR="00353F67" w:rsidRDefault="00353F67">
            <w:pPr>
              <w:rPr>
                <w:rFonts w:ascii="Arial" w:eastAsia="Times New Roman" w:hAnsi="Arial" w:cs="Arial"/>
                <w:i/>
                <w:iCs/>
              </w:rPr>
            </w:pPr>
            <w:r>
              <w:rPr>
                <w:rFonts w:ascii="Arial" w:eastAsia="Times New Roman" w:hAnsi="Arial" w:cs="Arial"/>
                <w:i/>
                <w:iCs/>
              </w:rPr>
              <w:t xml:space="preserve">Relevant </w:t>
            </w:r>
            <w:proofErr w:type="gramStart"/>
            <w:r>
              <w:rPr>
                <w:rFonts w:ascii="Arial" w:eastAsia="Times New Roman" w:hAnsi="Arial" w:cs="Arial"/>
                <w:i/>
                <w:iCs/>
              </w:rPr>
              <w:t>Decision Making</w:t>
            </w:r>
            <w:proofErr w:type="gramEnd"/>
            <w:r>
              <w:rPr>
                <w:rFonts w:ascii="Arial" w:eastAsia="Times New Roman" w:hAnsi="Arial" w:cs="Arial"/>
                <w:i/>
                <w:iCs/>
              </w:rPr>
              <w:t xml:space="preserve"> Committees </w:t>
            </w:r>
          </w:p>
          <w:p w14:paraId="181795E1" w14:textId="77777777" w:rsidR="00353F67" w:rsidRDefault="00353F67" w:rsidP="00353F67">
            <w:pPr>
              <w:pStyle w:val="ListParagraph"/>
              <w:numPr>
                <w:ilvl w:val="0"/>
                <w:numId w:val="55"/>
              </w:numPr>
              <w:spacing w:after="0" w:line="240" w:lineRule="auto"/>
              <w:rPr>
                <w:rFonts w:ascii="Arial" w:eastAsia="Times New Roman" w:hAnsi="Arial" w:cs="Arial"/>
              </w:rPr>
            </w:pPr>
            <w:r>
              <w:rPr>
                <w:rFonts w:ascii="Arial" w:eastAsia="Times New Roman" w:hAnsi="Arial" w:cs="Arial"/>
              </w:rPr>
              <w:t>Same as M/S</w:t>
            </w:r>
          </w:p>
          <w:p w14:paraId="5BDD99ED" w14:textId="77777777" w:rsidR="00353F67" w:rsidRDefault="00353F67">
            <w:pPr>
              <w:rPr>
                <w:rFonts w:ascii="Arial" w:eastAsia="Times New Roman" w:hAnsi="Arial" w:cs="Arial"/>
              </w:rPr>
            </w:pPr>
          </w:p>
          <w:p w14:paraId="5F66F3FC" w14:textId="77777777" w:rsidR="00353F67" w:rsidRDefault="00353F67">
            <w:pPr>
              <w:rPr>
                <w:rFonts w:ascii="Arial" w:eastAsia="Times New Roman" w:hAnsi="Arial" w:cs="Arial"/>
              </w:rPr>
            </w:pPr>
          </w:p>
          <w:p w14:paraId="0BAAF10D" w14:textId="77777777" w:rsidR="00353F67" w:rsidRDefault="00353F67">
            <w:pPr>
              <w:rPr>
                <w:rFonts w:ascii="Arial" w:eastAsia="Times New Roman" w:hAnsi="Arial" w:cs="Arial"/>
              </w:rPr>
            </w:pPr>
          </w:p>
          <w:p w14:paraId="37EE45C8" w14:textId="77777777" w:rsidR="00353F67" w:rsidRDefault="00353F67">
            <w:pPr>
              <w:rPr>
                <w:rFonts w:ascii="Arial" w:eastAsia="Times New Roman" w:hAnsi="Arial" w:cs="Arial"/>
              </w:rPr>
            </w:pPr>
          </w:p>
          <w:p w14:paraId="4AF7DD20" w14:textId="77777777" w:rsidR="00353F67" w:rsidRDefault="00353F67">
            <w:pPr>
              <w:rPr>
                <w:rFonts w:ascii="Arial" w:eastAsia="Times New Roman" w:hAnsi="Arial" w:cs="Arial"/>
              </w:rPr>
            </w:pPr>
          </w:p>
          <w:p w14:paraId="21EAFBCE" w14:textId="77777777" w:rsidR="00353F67" w:rsidRDefault="00353F67">
            <w:pPr>
              <w:rPr>
                <w:rFonts w:ascii="Arial" w:eastAsia="Times New Roman" w:hAnsi="Arial" w:cs="Arial"/>
              </w:rPr>
            </w:pPr>
          </w:p>
          <w:p w14:paraId="4ECAC5E2" w14:textId="77777777" w:rsidR="00353F67" w:rsidRDefault="00353F67">
            <w:pPr>
              <w:rPr>
                <w:rFonts w:ascii="Arial" w:eastAsia="Times New Roman" w:hAnsi="Arial" w:cs="Arial"/>
              </w:rPr>
            </w:pPr>
          </w:p>
          <w:p w14:paraId="541643D8" w14:textId="77777777" w:rsidR="00353F67" w:rsidRDefault="00353F67">
            <w:pPr>
              <w:rPr>
                <w:rFonts w:ascii="Arial" w:eastAsia="Times New Roman" w:hAnsi="Arial" w:cs="Arial"/>
              </w:rPr>
            </w:pPr>
          </w:p>
          <w:p w14:paraId="7535A004" w14:textId="77777777" w:rsidR="00353F67" w:rsidRDefault="00353F67">
            <w:pPr>
              <w:rPr>
                <w:rFonts w:ascii="Arial" w:eastAsia="Times New Roman" w:hAnsi="Arial" w:cs="Arial"/>
              </w:rPr>
            </w:pPr>
          </w:p>
          <w:p w14:paraId="25489E89" w14:textId="77777777" w:rsidR="00353F67" w:rsidRDefault="00353F67">
            <w:pPr>
              <w:rPr>
                <w:rFonts w:ascii="Arial" w:eastAsia="Times New Roman" w:hAnsi="Arial" w:cs="Arial"/>
              </w:rPr>
            </w:pPr>
          </w:p>
          <w:p w14:paraId="6DF6A297" w14:textId="77777777" w:rsidR="00353F67" w:rsidRDefault="00353F67">
            <w:pPr>
              <w:rPr>
                <w:rFonts w:ascii="Arial" w:eastAsia="Times New Roman" w:hAnsi="Arial" w:cs="Arial"/>
              </w:rPr>
            </w:pPr>
          </w:p>
          <w:p w14:paraId="29C87D3B" w14:textId="77777777" w:rsidR="00353F67" w:rsidRDefault="00353F67">
            <w:pPr>
              <w:rPr>
                <w:rFonts w:ascii="Arial" w:eastAsia="Times New Roman" w:hAnsi="Arial" w:cs="Arial"/>
              </w:rPr>
            </w:pPr>
          </w:p>
          <w:p w14:paraId="0B791C60" w14:textId="77777777" w:rsidR="00353F67" w:rsidRDefault="00353F67">
            <w:pPr>
              <w:rPr>
                <w:rFonts w:ascii="Arial" w:eastAsia="Times New Roman" w:hAnsi="Arial" w:cs="Arial"/>
              </w:rPr>
            </w:pPr>
          </w:p>
          <w:p w14:paraId="40423D7B" w14:textId="77777777" w:rsidR="00353F67" w:rsidRDefault="00353F67">
            <w:pPr>
              <w:rPr>
                <w:rFonts w:ascii="Arial" w:eastAsia="Times New Roman" w:hAnsi="Arial" w:cs="Arial"/>
              </w:rPr>
            </w:pPr>
          </w:p>
          <w:p w14:paraId="483D70C6" w14:textId="77777777" w:rsidR="00353F67" w:rsidRDefault="00353F67">
            <w:pPr>
              <w:rPr>
                <w:rFonts w:ascii="Arial" w:eastAsia="Times New Roman" w:hAnsi="Arial" w:cs="Arial"/>
              </w:rPr>
            </w:pPr>
          </w:p>
          <w:p w14:paraId="781C34A4" w14:textId="77777777" w:rsidR="00353F67" w:rsidRDefault="00353F67">
            <w:pPr>
              <w:rPr>
                <w:rFonts w:ascii="Arial" w:eastAsia="Times New Roman" w:hAnsi="Arial" w:cs="Arial"/>
              </w:rPr>
            </w:pPr>
          </w:p>
          <w:p w14:paraId="6D1C7A2D" w14:textId="77777777" w:rsidR="00353F67" w:rsidRDefault="00353F67">
            <w:pPr>
              <w:rPr>
                <w:rFonts w:ascii="Arial" w:eastAsia="Times New Roman" w:hAnsi="Arial" w:cs="Arial"/>
              </w:rPr>
            </w:pPr>
          </w:p>
          <w:p w14:paraId="78880143" w14:textId="77777777" w:rsidR="00353F67" w:rsidRDefault="00353F67">
            <w:pPr>
              <w:rPr>
                <w:rFonts w:ascii="Arial" w:eastAsia="Times New Roman" w:hAnsi="Arial" w:cs="Arial"/>
              </w:rPr>
            </w:pPr>
          </w:p>
          <w:p w14:paraId="14A55D5B" w14:textId="77777777" w:rsidR="00353F67" w:rsidRDefault="00353F67">
            <w:pPr>
              <w:rPr>
                <w:rFonts w:ascii="Arial" w:eastAsia="Times New Roman" w:hAnsi="Arial" w:cs="Arial"/>
              </w:rPr>
            </w:pPr>
          </w:p>
          <w:p w14:paraId="568235C9" w14:textId="77777777" w:rsidR="00353F67" w:rsidRDefault="00353F67">
            <w:pPr>
              <w:rPr>
                <w:rFonts w:ascii="Arial" w:eastAsia="Times New Roman" w:hAnsi="Arial" w:cs="Arial"/>
              </w:rPr>
            </w:pPr>
          </w:p>
          <w:p w14:paraId="73CE14E4" w14:textId="77777777" w:rsidR="00353F67" w:rsidRDefault="00353F67">
            <w:pPr>
              <w:rPr>
                <w:rFonts w:ascii="Arial" w:eastAsia="Times New Roman" w:hAnsi="Arial" w:cs="Arial"/>
              </w:rPr>
            </w:pPr>
          </w:p>
          <w:p w14:paraId="78BFBC1A" w14:textId="77777777" w:rsidR="00353F67" w:rsidRDefault="00353F67">
            <w:pPr>
              <w:rPr>
                <w:rFonts w:ascii="Arial" w:eastAsia="Times New Roman" w:hAnsi="Arial" w:cs="Arial"/>
              </w:rPr>
            </w:pPr>
          </w:p>
          <w:p w14:paraId="112AAFD0" w14:textId="77777777" w:rsidR="00353F67" w:rsidRDefault="00353F67">
            <w:pPr>
              <w:rPr>
                <w:rFonts w:ascii="Arial" w:eastAsia="Times New Roman" w:hAnsi="Arial" w:cs="Arial"/>
              </w:rPr>
            </w:pPr>
          </w:p>
          <w:p w14:paraId="0D052D57" w14:textId="77777777" w:rsidR="00353F67" w:rsidRDefault="00353F67">
            <w:pPr>
              <w:rPr>
                <w:rFonts w:ascii="Arial" w:eastAsia="Times New Roman" w:hAnsi="Arial" w:cs="Arial"/>
              </w:rPr>
            </w:pPr>
          </w:p>
          <w:p w14:paraId="65FA1BB1" w14:textId="77777777" w:rsidR="00353F67" w:rsidRDefault="00353F67">
            <w:pPr>
              <w:rPr>
                <w:rFonts w:ascii="Arial" w:eastAsia="Times New Roman" w:hAnsi="Arial" w:cs="Arial"/>
              </w:rPr>
            </w:pPr>
          </w:p>
          <w:p w14:paraId="31101A29" w14:textId="77777777" w:rsidR="00353F67" w:rsidRDefault="00353F67">
            <w:pPr>
              <w:rPr>
                <w:rFonts w:ascii="Arial" w:eastAsia="Times New Roman" w:hAnsi="Arial" w:cs="Arial"/>
              </w:rPr>
            </w:pPr>
          </w:p>
          <w:p w14:paraId="0E7A91ED" w14:textId="77777777" w:rsidR="00353F67" w:rsidRDefault="00353F67">
            <w:pPr>
              <w:rPr>
                <w:rFonts w:ascii="Arial" w:eastAsia="Times New Roman" w:hAnsi="Arial" w:cs="Arial"/>
              </w:rPr>
            </w:pPr>
          </w:p>
          <w:p w14:paraId="2D3F36E8" w14:textId="77777777" w:rsidR="00353F67" w:rsidRDefault="00353F67">
            <w:pPr>
              <w:rPr>
                <w:rFonts w:ascii="Arial" w:eastAsia="Times New Roman" w:hAnsi="Arial" w:cs="Arial"/>
              </w:rPr>
            </w:pPr>
          </w:p>
          <w:p w14:paraId="0371BB11" w14:textId="77777777" w:rsidR="00353F67" w:rsidRDefault="00353F67">
            <w:pPr>
              <w:rPr>
                <w:rFonts w:ascii="Arial" w:eastAsia="Times New Roman" w:hAnsi="Arial" w:cs="Arial"/>
              </w:rPr>
            </w:pPr>
          </w:p>
          <w:p w14:paraId="6125A834" w14:textId="77777777" w:rsidR="00353F67" w:rsidRDefault="00353F67">
            <w:pPr>
              <w:rPr>
                <w:rFonts w:ascii="Arial" w:eastAsia="Times New Roman" w:hAnsi="Arial" w:cs="Arial"/>
              </w:rPr>
            </w:pPr>
          </w:p>
          <w:p w14:paraId="7050F44E" w14:textId="77777777" w:rsidR="00353F67" w:rsidRDefault="00353F67">
            <w:pPr>
              <w:rPr>
                <w:rFonts w:ascii="Arial" w:eastAsia="Times New Roman" w:hAnsi="Arial" w:cs="Arial"/>
              </w:rPr>
            </w:pPr>
          </w:p>
          <w:p w14:paraId="1CE18466" w14:textId="77777777" w:rsidR="00353F67" w:rsidRDefault="00353F67">
            <w:pPr>
              <w:rPr>
                <w:rFonts w:ascii="Arial" w:eastAsia="Times New Roman" w:hAnsi="Arial" w:cs="Arial"/>
              </w:rPr>
            </w:pPr>
          </w:p>
          <w:p w14:paraId="46ADBB3F" w14:textId="77777777" w:rsidR="00353F67" w:rsidRDefault="00353F67">
            <w:pPr>
              <w:rPr>
                <w:rFonts w:ascii="Arial" w:eastAsia="Times New Roman" w:hAnsi="Arial" w:cs="Arial"/>
              </w:rPr>
            </w:pPr>
          </w:p>
          <w:p w14:paraId="0724ACB6" w14:textId="77777777" w:rsidR="00353F67" w:rsidRDefault="00353F67">
            <w:pPr>
              <w:rPr>
                <w:rFonts w:ascii="Arial" w:eastAsia="Times New Roman" w:hAnsi="Arial" w:cs="Arial"/>
              </w:rPr>
            </w:pPr>
          </w:p>
          <w:p w14:paraId="6C770218" w14:textId="77777777" w:rsidR="00353F67" w:rsidRDefault="00353F67">
            <w:pPr>
              <w:rPr>
                <w:rFonts w:ascii="Arial" w:eastAsia="Times New Roman" w:hAnsi="Arial" w:cs="Arial"/>
              </w:rPr>
            </w:pPr>
          </w:p>
          <w:p w14:paraId="0B7416C1" w14:textId="77777777" w:rsidR="00353F67" w:rsidRDefault="00353F67">
            <w:pPr>
              <w:rPr>
                <w:rFonts w:ascii="Arial" w:eastAsia="Times New Roman" w:hAnsi="Arial" w:cs="Arial"/>
              </w:rPr>
            </w:pPr>
          </w:p>
          <w:p w14:paraId="7F99A7A0" w14:textId="77777777" w:rsidR="00353F67" w:rsidRDefault="00353F67">
            <w:pPr>
              <w:rPr>
                <w:rFonts w:ascii="Arial" w:eastAsia="Times New Roman" w:hAnsi="Arial" w:cs="Arial"/>
              </w:rPr>
            </w:pPr>
          </w:p>
          <w:p w14:paraId="44C0AA33" w14:textId="77777777" w:rsidR="00353F67" w:rsidRDefault="00353F67">
            <w:pPr>
              <w:rPr>
                <w:rFonts w:ascii="Arial" w:eastAsia="Times New Roman" w:hAnsi="Arial" w:cs="Arial"/>
              </w:rPr>
            </w:pPr>
            <w:r>
              <w:rPr>
                <w:rFonts w:ascii="Arial" w:eastAsia="Times New Roman" w:hAnsi="Arial" w:cs="Arial"/>
                <w:i/>
              </w:rPr>
              <w:t>Minimum qualifications for reviewers</w:t>
            </w:r>
            <w:r>
              <w:rPr>
                <w:rFonts w:ascii="Arial" w:eastAsia="Times New Roman" w:hAnsi="Arial" w:cs="Arial"/>
              </w:rPr>
              <w:t>:</w:t>
            </w:r>
          </w:p>
          <w:p w14:paraId="2E4E30C8" w14:textId="77777777" w:rsidR="00353F67" w:rsidRDefault="00353F67" w:rsidP="00353F67">
            <w:pPr>
              <w:pStyle w:val="ListParagraph"/>
              <w:numPr>
                <w:ilvl w:val="0"/>
                <w:numId w:val="55"/>
              </w:numPr>
              <w:spacing w:after="0" w:line="240" w:lineRule="auto"/>
              <w:rPr>
                <w:rFonts w:ascii="Arial" w:eastAsia="Times New Roman" w:hAnsi="Arial" w:cs="Arial"/>
              </w:rPr>
            </w:pPr>
            <w:r>
              <w:rPr>
                <w:rFonts w:ascii="Arial" w:eastAsia="Times New Roman" w:hAnsi="Arial" w:cs="Arial"/>
              </w:rPr>
              <w:t>Same as M/S</w:t>
            </w:r>
          </w:p>
          <w:p w14:paraId="08B242B9" w14:textId="77777777" w:rsidR="00353F67" w:rsidRDefault="00353F67">
            <w:pPr>
              <w:rPr>
                <w:rFonts w:ascii="Arial" w:eastAsia="Times New Roman" w:hAnsi="Arial" w:cs="Arial"/>
              </w:rPr>
            </w:pPr>
          </w:p>
          <w:p w14:paraId="39B6736C" w14:textId="77777777" w:rsidR="00353F67" w:rsidRDefault="00353F67">
            <w:pPr>
              <w:rPr>
                <w:rFonts w:ascii="Arial" w:eastAsia="Times New Roman" w:hAnsi="Arial" w:cs="Arial"/>
              </w:rPr>
            </w:pPr>
          </w:p>
          <w:p w14:paraId="2776C343" w14:textId="77777777" w:rsidR="00353F67" w:rsidRDefault="00353F67">
            <w:pPr>
              <w:rPr>
                <w:rFonts w:ascii="Arial" w:eastAsia="Times New Roman" w:hAnsi="Arial" w:cs="Arial"/>
              </w:rPr>
            </w:pPr>
          </w:p>
          <w:p w14:paraId="122DB0B1" w14:textId="77777777" w:rsidR="00353F67" w:rsidRDefault="00353F67">
            <w:pPr>
              <w:rPr>
                <w:rFonts w:ascii="Arial" w:eastAsia="Times New Roman" w:hAnsi="Arial" w:cs="Arial"/>
              </w:rPr>
            </w:pPr>
          </w:p>
          <w:p w14:paraId="7DE0377C" w14:textId="77777777" w:rsidR="00353F67" w:rsidRDefault="00353F67">
            <w:pPr>
              <w:rPr>
                <w:rFonts w:ascii="Arial" w:eastAsia="Times New Roman" w:hAnsi="Arial" w:cs="Arial"/>
              </w:rPr>
            </w:pPr>
          </w:p>
          <w:p w14:paraId="1DBD914D" w14:textId="77777777" w:rsidR="00353F67" w:rsidRDefault="00353F67">
            <w:pPr>
              <w:rPr>
                <w:rFonts w:ascii="Arial" w:eastAsia="Times New Roman" w:hAnsi="Arial" w:cs="Arial"/>
              </w:rPr>
            </w:pPr>
          </w:p>
          <w:p w14:paraId="0C7BF731" w14:textId="77777777" w:rsidR="00353F67" w:rsidRDefault="00353F67">
            <w:pPr>
              <w:rPr>
                <w:rFonts w:ascii="Arial" w:eastAsia="Times New Roman" w:hAnsi="Arial" w:cs="Arial"/>
              </w:rPr>
            </w:pPr>
          </w:p>
          <w:p w14:paraId="0AC6B978" w14:textId="77777777" w:rsidR="00353F67" w:rsidRDefault="00353F67">
            <w:pPr>
              <w:rPr>
                <w:rFonts w:ascii="Arial" w:eastAsia="Times New Roman" w:hAnsi="Arial" w:cs="Arial"/>
              </w:rPr>
            </w:pPr>
          </w:p>
          <w:p w14:paraId="04C5D995" w14:textId="77777777" w:rsidR="00353F67" w:rsidRDefault="00353F67">
            <w:pPr>
              <w:rPr>
                <w:rFonts w:ascii="Arial" w:eastAsia="Times New Roman" w:hAnsi="Arial" w:cs="Arial"/>
              </w:rPr>
            </w:pPr>
          </w:p>
          <w:p w14:paraId="776AFAB7" w14:textId="77777777" w:rsidR="00353F67" w:rsidRDefault="00353F67">
            <w:pPr>
              <w:rPr>
                <w:rFonts w:ascii="Arial" w:eastAsia="Times New Roman" w:hAnsi="Arial" w:cs="Arial"/>
              </w:rPr>
            </w:pPr>
          </w:p>
          <w:p w14:paraId="39D3AF53" w14:textId="77777777" w:rsidR="00353F67" w:rsidRDefault="00353F67">
            <w:pPr>
              <w:rPr>
                <w:rFonts w:ascii="Arial" w:eastAsia="Times New Roman" w:hAnsi="Arial" w:cs="Arial"/>
              </w:rPr>
            </w:pPr>
          </w:p>
          <w:p w14:paraId="7526E7DD" w14:textId="77777777" w:rsidR="00353F67" w:rsidRDefault="00353F67">
            <w:pPr>
              <w:rPr>
                <w:rFonts w:ascii="Arial" w:eastAsia="Times New Roman" w:hAnsi="Arial" w:cs="Arial"/>
              </w:rPr>
            </w:pPr>
          </w:p>
          <w:p w14:paraId="6011B617" w14:textId="77777777" w:rsidR="00353F67" w:rsidRDefault="00353F67">
            <w:pPr>
              <w:rPr>
                <w:rFonts w:ascii="Arial" w:eastAsia="Times New Roman" w:hAnsi="Arial" w:cs="Arial"/>
              </w:rPr>
            </w:pPr>
          </w:p>
          <w:p w14:paraId="28653CA1" w14:textId="77777777" w:rsidR="00353F67" w:rsidRDefault="00353F67">
            <w:pPr>
              <w:rPr>
                <w:rFonts w:ascii="Arial" w:eastAsia="Times New Roman" w:hAnsi="Arial" w:cs="Arial"/>
              </w:rPr>
            </w:pPr>
          </w:p>
          <w:p w14:paraId="3538EA51" w14:textId="77777777" w:rsidR="00353F67" w:rsidRDefault="00353F67">
            <w:pPr>
              <w:rPr>
                <w:rFonts w:ascii="Arial" w:eastAsia="Times New Roman" w:hAnsi="Arial" w:cs="Arial"/>
              </w:rPr>
            </w:pPr>
            <w:r>
              <w:rPr>
                <w:rFonts w:ascii="Arial" w:eastAsia="Times New Roman" w:hAnsi="Arial" w:cs="Arial"/>
                <w:i/>
              </w:rPr>
              <w:t>Minimum standards to issue a denial</w:t>
            </w:r>
            <w:r>
              <w:rPr>
                <w:rFonts w:ascii="Arial" w:eastAsia="Times New Roman" w:hAnsi="Arial" w:cs="Arial"/>
              </w:rPr>
              <w:t>:</w:t>
            </w:r>
          </w:p>
          <w:p w14:paraId="63820050" w14:textId="77777777" w:rsidR="00353F67" w:rsidRDefault="00353F67" w:rsidP="00353F67">
            <w:pPr>
              <w:pStyle w:val="ListParagraph"/>
              <w:numPr>
                <w:ilvl w:val="0"/>
                <w:numId w:val="55"/>
              </w:numPr>
              <w:spacing w:after="0" w:line="240" w:lineRule="auto"/>
              <w:rPr>
                <w:rFonts w:ascii="Arial" w:eastAsia="Times New Roman" w:hAnsi="Arial" w:cs="Arial"/>
              </w:rPr>
            </w:pPr>
            <w:r>
              <w:rPr>
                <w:rFonts w:ascii="Arial" w:eastAsia="Times New Roman" w:hAnsi="Arial" w:cs="Arial"/>
              </w:rPr>
              <w:t>Same as M/S</w:t>
            </w:r>
          </w:p>
        </w:tc>
      </w:tr>
      <w:tr w:rsidR="00353F67" w14:paraId="7275D860" w14:textId="77777777" w:rsidTr="00353F6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F7BC" w14:textId="77777777" w:rsidR="00353F67" w:rsidRDefault="00353F67">
            <w:pPr>
              <w:rPr>
                <w:rFonts w:ascii="Arial" w:eastAsia="Times New Roman" w:hAnsi="Arial" w:cs="Arial"/>
              </w:rPr>
            </w:pPr>
            <w:r>
              <w:rPr>
                <w:rFonts w:ascii="Arial" w:eastAsia="Times New Roman" w:hAnsi="Arial" w:cs="Arial"/>
                <w:b/>
                <w:i/>
              </w:rPr>
              <w:t>Step 4(b): Identify and define the factors and processes that are used to monitor and evaluate the application of Quantity Limits for M/S benefits and MHSUD benefits</w:t>
            </w:r>
            <w:r>
              <w:rPr>
                <w:rFonts w:ascii="Arial" w:eastAsia="Times New Roman" w:hAnsi="Arial" w:cs="Arial"/>
              </w:rPr>
              <w:t>:</w:t>
            </w:r>
          </w:p>
          <w:p w14:paraId="1A5CBAC5" w14:textId="77777777" w:rsidR="00353F67" w:rsidRDefault="00353F67">
            <w:pPr>
              <w:rPr>
                <w:rFonts w:ascii="Arial" w:hAnsi="Arial" w:cs="Arial"/>
                <w:b/>
                <w:bCs/>
              </w:rPr>
            </w:pPr>
          </w:p>
        </w:tc>
      </w:tr>
      <w:tr w:rsidR="00353F67" w14:paraId="239FED20" w14:textId="77777777" w:rsidTr="00353F67">
        <w:trPr>
          <w:trHeight w:val="1720"/>
        </w:trPr>
        <w:tc>
          <w:tcPr>
            <w:tcW w:w="2500" w:type="pct"/>
            <w:tcBorders>
              <w:top w:val="single" w:sz="4" w:space="0" w:color="auto"/>
              <w:left w:val="single" w:sz="4" w:space="0" w:color="auto"/>
              <w:bottom w:val="single" w:sz="4" w:space="0" w:color="auto"/>
              <w:right w:val="single" w:sz="4" w:space="0" w:color="auto"/>
            </w:tcBorders>
          </w:tcPr>
          <w:p w14:paraId="2DFADFA6" w14:textId="77777777" w:rsidR="00353F67" w:rsidRDefault="00353F67">
            <w:pPr>
              <w:rPr>
                <w:rFonts w:ascii="Arial" w:eastAsia="Times New Roman" w:hAnsi="Arial" w:cs="Arial"/>
              </w:rPr>
            </w:pPr>
          </w:p>
          <w:p w14:paraId="0C62B80D" w14:textId="77777777" w:rsidR="00353F67" w:rsidRDefault="00353F67">
            <w:pPr>
              <w:rPr>
                <w:rFonts w:ascii="Arial" w:eastAsia="Times New Roman" w:hAnsi="Arial" w:cs="Arial"/>
              </w:rPr>
            </w:pPr>
            <w:r>
              <w:rPr>
                <w:rFonts w:ascii="Arial" w:hAnsi="Arial" w:cs="Arial"/>
              </w:rPr>
              <w:t>To ensure that the processes, strategies, evidentiary standards, and other factors used to apply prior authorization to MH/SUD drugs, in operation, are comparable to, and are applied no more stringently than, the processes, strategies, evidentiary standards, and other factors used to apply quantity limit to M/S drugs, QL for prescription drugs is analyzed semi-annually. One analysis we completed was a review of the percentage of drugs in the M/S and MH/SUD classifications that are subject to a quantity limit. See table below for M/S results.</w:t>
            </w:r>
          </w:p>
          <w:p w14:paraId="423B8EE8" w14:textId="77777777" w:rsidR="00353F67" w:rsidRDefault="00353F67">
            <w:pPr>
              <w:rPr>
                <w:rFonts w:ascii="Arial" w:eastAsia="Times New Roman" w:hAnsi="Arial" w:cs="Arial"/>
              </w:rPr>
            </w:pPr>
          </w:p>
          <w:tbl>
            <w:tblPr>
              <w:tblStyle w:val="TableGrid"/>
              <w:tblW w:w="0" w:type="auto"/>
              <w:tblLook w:val="04A0" w:firstRow="1" w:lastRow="0" w:firstColumn="1" w:lastColumn="0" w:noHBand="0" w:noVBand="1"/>
            </w:tblPr>
            <w:tblGrid>
              <w:gridCol w:w="2353"/>
              <w:gridCol w:w="2096"/>
            </w:tblGrid>
            <w:tr w:rsidR="00353F67" w14:paraId="79198788" w14:textId="77777777">
              <w:trPr>
                <w:trHeight w:val="741"/>
              </w:trPr>
              <w:tc>
                <w:tcPr>
                  <w:tcW w:w="9314" w:type="dxa"/>
                  <w:gridSpan w:val="2"/>
                  <w:tcBorders>
                    <w:top w:val="single" w:sz="4" w:space="0" w:color="auto"/>
                    <w:left w:val="single" w:sz="4" w:space="0" w:color="auto"/>
                    <w:bottom w:val="single" w:sz="4" w:space="0" w:color="auto"/>
                    <w:right w:val="single" w:sz="4" w:space="0" w:color="auto"/>
                  </w:tcBorders>
                  <w:hideMark/>
                </w:tcPr>
                <w:p w14:paraId="01E63F5D" w14:textId="77777777" w:rsidR="00353F67" w:rsidRDefault="00353F67">
                  <w:pPr>
                    <w:pStyle w:val="BodyText"/>
                    <w:spacing w:before="223" w:line="264" w:lineRule="auto"/>
                    <w:jc w:val="center"/>
                    <w:rPr>
                      <w:rFonts w:ascii="Arial" w:eastAsiaTheme="minorHAnsi" w:hAnsi="Arial" w:cs="Arial"/>
                      <w:sz w:val="22"/>
                      <w:szCs w:val="22"/>
                    </w:rPr>
                  </w:pPr>
                  <w:r>
                    <w:rPr>
                      <w:rFonts w:ascii="Arial" w:hAnsi="Arial" w:cs="Arial"/>
                      <w:sz w:val="22"/>
                      <w:szCs w:val="22"/>
                    </w:rPr>
                    <w:t>M/S QL Requirements</w:t>
                  </w:r>
                </w:p>
              </w:tc>
            </w:tr>
            <w:tr w:rsidR="00353F67" w14:paraId="2D4DFEA7"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637167D0"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Total M/S Drugs</w:t>
                  </w:r>
                </w:p>
              </w:tc>
              <w:tc>
                <w:tcPr>
                  <w:tcW w:w="4657" w:type="dxa"/>
                  <w:tcBorders>
                    <w:top w:val="single" w:sz="4" w:space="0" w:color="auto"/>
                    <w:left w:val="single" w:sz="4" w:space="0" w:color="auto"/>
                    <w:bottom w:val="single" w:sz="4" w:space="0" w:color="auto"/>
                    <w:right w:val="single" w:sz="4" w:space="0" w:color="auto"/>
                  </w:tcBorders>
                  <w:hideMark/>
                </w:tcPr>
                <w:p w14:paraId="10A88DA0"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8,742</w:t>
                  </w:r>
                </w:p>
              </w:tc>
            </w:tr>
            <w:tr w:rsidR="00353F67" w14:paraId="00799DB3"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242F2A1B"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Total M/S Drugs Requiring QL</w:t>
                  </w:r>
                </w:p>
              </w:tc>
              <w:tc>
                <w:tcPr>
                  <w:tcW w:w="4657" w:type="dxa"/>
                  <w:tcBorders>
                    <w:top w:val="single" w:sz="4" w:space="0" w:color="auto"/>
                    <w:left w:val="single" w:sz="4" w:space="0" w:color="auto"/>
                    <w:bottom w:val="single" w:sz="4" w:space="0" w:color="auto"/>
                    <w:right w:val="single" w:sz="4" w:space="0" w:color="auto"/>
                  </w:tcBorders>
                  <w:hideMark/>
                </w:tcPr>
                <w:p w14:paraId="406F14B1"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1,712</w:t>
                  </w:r>
                </w:p>
              </w:tc>
            </w:tr>
            <w:tr w:rsidR="00353F67" w14:paraId="3ED2AA54" w14:textId="77777777">
              <w:trPr>
                <w:trHeight w:val="742"/>
              </w:trPr>
              <w:tc>
                <w:tcPr>
                  <w:tcW w:w="4657" w:type="dxa"/>
                  <w:tcBorders>
                    <w:top w:val="single" w:sz="4" w:space="0" w:color="auto"/>
                    <w:left w:val="single" w:sz="4" w:space="0" w:color="auto"/>
                    <w:bottom w:val="single" w:sz="4" w:space="0" w:color="auto"/>
                    <w:right w:val="single" w:sz="4" w:space="0" w:color="auto"/>
                  </w:tcBorders>
                  <w:hideMark/>
                </w:tcPr>
                <w:p w14:paraId="54A395DF"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QL Required Rate</w:t>
                  </w:r>
                </w:p>
              </w:tc>
              <w:tc>
                <w:tcPr>
                  <w:tcW w:w="4657" w:type="dxa"/>
                  <w:tcBorders>
                    <w:top w:val="single" w:sz="4" w:space="0" w:color="auto"/>
                    <w:left w:val="single" w:sz="4" w:space="0" w:color="auto"/>
                    <w:bottom w:val="single" w:sz="4" w:space="0" w:color="auto"/>
                    <w:right w:val="single" w:sz="4" w:space="0" w:color="auto"/>
                  </w:tcBorders>
                  <w:hideMark/>
                </w:tcPr>
                <w:p w14:paraId="22B96E8C"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20%</w:t>
                  </w:r>
                </w:p>
              </w:tc>
            </w:tr>
          </w:tbl>
          <w:p w14:paraId="32DD3E92" w14:textId="77777777" w:rsidR="00353F67" w:rsidRDefault="00353F67">
            <w:pPr>
              <w:pStyle w:val="ListParagraph"/>
              <w:rPr>
                <w:rFonts w:ascii="Arial" w:eastAsia="Times New Roman" w:hAnsi="Arial" w:cs="Arial"/>
              </w:rPr>
            </w:pPr>
          </w:p>
          <w:p w14:paraId="6CB629A6" w14:textId="77777777" w:rsidR="00353F67" w:rsidRDefault="00353F67" w:rsidP="00353F67">
            <w:pPr>
              <w:pStyle w:val="ListParagraph"/>
              <w:numPr>
                <w:ilvl w:val="0"/>
                <w:numId w:val="56"/>
              </w:numPr>
              <w:spacing w:after="0" w:line="240" w:lineRule="auto"/>
              <w:rPr>
                <w:rFonts w:ascii="Arial" w:eastAsia="Times New Roman" w:hAnsi="Arial" w:cs="Arial"/>
              </w:rPr>
            </w:pPr>
            <w:r>
              <w:rPr>
                <w:rFonts w:ascii="Arial" w:eastAsia="Times New Roman" w:hAnsi="Arial" w:cs="Arial"/>
              </w:rPr>
              <w:t xml:space="preserve">We also completed an analysis of the turnaround times for QL exception requests to be issued either an approval or denial. On average, the turnaround time for M/S drugs was less than 1 </w:t>
            </w:r>
            <w:proofErr w:type="gramStart"/>
            <w:r>
              <w:rPr>
                <w:rFonts w:ascii="Arial" w:eastAsia="Times New Roman" w:hAnsi="Arial" w:cs="Arial"/>
              </w:rPr>
              <w:t>day</w:t>
            </w:r>
            <w:proofErr w:type="gramEnd"/>
          </w:p>
          <w:p w14:paraId="2368B181" w14:textId="77777777" w:rsidR="00353F67" w:rsidRDefault="00353F67">
            <w:pPr>
              <w:pStyle w:val="ListParagraph"/>
              <w:rPr>
                <w:rFonts w:ascii="Arial" w:eastAsia="Times New Roman" w:hAnsi="Arial" w:cs="Arial"/>
              </w:rPr>
            </w:pPr>
          </w:p>
          <w:p w14:paraId="026E606F" w14:textId="77777777" w:rsidR="00353F67" w:rsidRDefault="00353F67" w:rsidP="00353F67">
            <w:pPr>
              <w:pStyle w:val="ListParagraph"/>
              <w:numPr>
                <w:ilvl w:val="0"/>
                <w:numId w:val="56"/>
              </w:numPr>
              <w:spacing w:after="0" w:line="240" w:lineRule="auto"/>
              <w:rPr>
                <w:rFonts w:ascii="Arial" w:eastAsia="Times New Roman" w:hAnsi="Arial" w:cs="Arial"/>
              </w:rPr>
            </w:pPr>
            <w:r>
              <w:rPr>
                <w:rFonts w:ascii="Arial" w:hAnsi="Arial" w:cs="Arial"/>
              </w:rPr>
              <w:t xml:space="preserve">We also completed an analysis of denial rates for requests for quantity limit exceptions in </w:t>
            </w:r>
            <w:proofErr w:type="gramStart"/>
            <w:r>
              <w:rPr>
                <w:rFonts w:ascii="Arial" w:hAnsi="Arial" w:cs="Arial"/>
              </w:rPr>
              <w:t>calendar</w:t>
            </w:r>
            <w:proofErr w:type="gramEnd"/>
            <w:r>
              <w:rPr>
                <w:rFonts w:ascii="Arial" w:hAnsi="Arial" w:cs="Arial"/>
              </w:rPr>
              <w:t xml:space="preserve"> year 2021. Results can be seen in the table below. </w:t>
            </w:r>
          </w:p>
          <w:p w14:paraId="5F762923" w14:textId="77777777" w:rsidR="00353F67" w:rsidRDefault="00353F67">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020"/>
              <w:gridCol w:w="1709"/>
            </w:tblGrid>
            <w:tr w:rsidR="00353F67" w14:paraId="67D4534F"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53150101" w14:textId="77777777" w:rsidR="00353F67" w:rsidRDefault="00353F67">
                  <w:pPr>
                    <w:pStyle w:val="ListParagraph"/>
                    <w:ind w:left="0"/>
                    <w:jc w:val="center"/>
                    <w:rPr>
                      <w:rFonts w:ascii="Arial" w:eastAsia="Times New Roman" w:hAnsi="Arial" w:cs="Arial"/>
                    </w:rPr>
                  </w:pPr>
                  <w:r>
                    <w:rPr>
                      <w:rFonts w:ascii="Arial" w:eastAsia="Times New Roman" w:hAnsi="Arial" w:cs="Arial"/>
                    </w:rPr>
                    <w:t>Global M/S QL Analysis</w:t>
                  </w:r>
                </w:p>
              </w:tc>
            </w:tr>
            <w:tr w:rsidR="00353F67" w14:paraId="54A652DA" w14:textId="77777777">
              <w:tc>
                <w:tcPr>
                  <w:tcW w:w="4390" w:type="dxa"/>
                  <w:tcBorders>
                    <w:top w:val="single" w:sz="4" w:space="0" w:color="auto"/>
                    <w:left w:val="single" w:sz="4" w:space="0" w:color="auto"/>
                    <w:bottom w:val="single" w:sz="4" w:space="0" w:color="auto"/>
                    <w:right w:val="single" w:sz="4" w:space="0" w:color="auto"/>
                  </w:tcBorders>
                  <w:hideMark/>
                </w:tcPr>
                <w:p w14:paraId="578CF6A2" w14:textId="77777777" w:rsidR="00353F67" w:rsidRDefault="00353F67">
                  <w:pPr>
                    <w:pStyle w:val="ListParagraph"/>
                    <w:ind w:left="0"/>
                    <w:rPr>
                      <w:rFonts w:ascii="Arial" w:eastAsia="Times New Roman" w:hAnsi="Arial" w:cs="Arial"/>
                    </w:rPr>
                  </w:pPr>
                  <w:r>
                    <w:rPr>
                      <w:rFonts w:ascii="Arial" w:eastAsia="Times New Roman" w:hAnsi="Arial" w:cs="Arial"/>
                    </w:rPr>
                    <w:t>Total QL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5DE8522" w14:textId="77777777" w:rsidR="00353F67" w:rsidRDefault="00353F67">
                  <w:pPr>
                    <w:pStyle w:val="ListParagraph"/>
                    <w:ind w:left="0"/>
                    <w:jc w:val="center"/>
                    <w:rPr>
                      <w:rFonts w:ascii="Arial" w:eastAsia="Times New Roman" w:hAnsi="Arial" w:cs="Arial"/>
                    </w:rPr>
                  </w:pPr>
                  <w:r>
                    <w:rPr>
                      <w:rFonts w:ascii="Arial" w:eastAsia="Times New Roman" w:hAnsi="Arial" w:cs="Arial"/>
                    </w:rPr>
                    <w:t>431</w:t>
                  </w:r>
                </w:p>
              </w:tc>
            </w:tr>
            <w:tr w:rsidR="00353F67" w14:paraId="409B4DF0" w14:textId="77777777">
              <w:tc>
                <w:tcPr>
                  <w:tcW w:w="4390" w:type="dxa"/>
                  <w:tcBorders>
                    <w:top w:val="single" w:sz="4" w:space="0" w:color="auto"/>
                    <w:left w:val="single" w:sz="4" w:space="0" w:color="auto"/>
                    <w:bottom w:val="single" w:sz="4" w:space="0" w:color="auto"/>
                    <w:right w:val="single" w:sz="4" w:space="0" w:color="auto"/>
                  </w:tcBorders>
                  <w:hideMark/>
                </w:tcPr>
                <w:p w14:paraId="0BC54572" w14:textId="77777777" w:rsidR="00353F67" w:rsidRDefault="00353F67">
                  <w:pPr>
                    <w:pStyle w:val="ListParagraph"/>
                    <w:ind w:left="0"/>
                    <w:rPr>
                      <w:rFonts w:ascii="Arial" w:eastAsia="Times New Roman" w:hAnsi="Arial" w:cs="Arial"/>
                    </w:rPr>
                  </w:pPr>
                  <w:r>
                    <w:rPr>
                      <w:rFonts w:ascii="Arial" w:eastAsia="Times New Roman" w:hAnsi="Arial" w:cs="Arial"/>
                    </w:rPr>
                    <w:t>Total QL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A05EE7F" w14:textId="77777777" w:rsidR="00353F67" w:rsidRDefault="00353F67">
                  <w:pPr>
                    <w:pStyle w:val="ListParagraph"/>
                    <w:ind w:left="0"/>
                    <w:jc w:val="center"/>
                    <w:rPr>
                      <w:rFonts w:ascii="Arial" w:eastAsia="Times New Roman" w:hAnsi="Arial" w:cs="Arial"/>
                    </w:rPr>
                  </w:pPr>
                  <w:r>
                    <w:rPr>
                      <w:rFonts w:ascii="Arial" w:eastAsia="Times New Roman" w:hAnsi="Arial" w:cs="Arial"/>
                    </w:rPr>
                    <w:t>275</w:t>
                  </w:r>
                </w:p>
              </w:tc>
            </w:tr>
            <w:tr w:rsidR="00353F67" w14:paraId="770D484F" w14:textId="77777777">
              <w:tc>
                <w:tcPr>
                  <w:tcW w:w="4390" w:type="dxa"/>
                  <w:tcBorders>
                    <w:top w:val="single" w:sz="4" w:space="0" w:color="auto"/>
                    <w:left w:val="single" w:sz="4" w:space="0" w:color="auto"/>
                    <w:bottom w:val="single" w:sz="4" w:space="0" w:color="auto"/>
                    <w:right w:val="single" w:sz="4" w:space="0" w:color="auto"/>
                  </w:tcBorders>
                  <w:hideMark/>
                </w:tcPr>
                <w:p w14:paraId="2109B4D3" w14:textId="77777777" w:rsidR="00353F67" w:rsidRDefault="00353F67">
                  <w:pPr>
                    <w:pStyle w:val="ListParagraph"/>
                    <w:ind w:left="0"/>
                    <w:rPr>
                      <w:rFonts w:ascii="Arial" w:eastAsia="Times New Roman" w:hAnsi="Arial" w:cs="Arial"/>
                    </w:rPr>
                  </w:pPr>
                  <w:r>
                    <w:rPr>
                      <w:rFonts w:ascii="Arial" w:eastAsia="Times New Roman" w:hAnsi="Arial" w:cs="Arial"/>
                    </w:rPr>
                    <w:t>Total QL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C6AC4D1" w14:textId="77777777" w:rsidR="00353F67" w:rsidRDefault="00353F67">
                  <w:pPr>
                    <w:pStyle w:val="ListParagraph"/>
                    <w:ind w:left="0"/>
                    <w:jc w:val="center"/>
                    <w:rPr>
                      <w:rFonts w:ascii="Arial" w:eastAsia="Times New Roman" w:hAnsi="Arial" w:cs="Arial"/>
                    </w:rPr>
                  </w:pPr>
                  <w:r>
                    <w:rPr>
                      <w:rFonts w:ascii="Arial" w:eastAsia="Times New Roman" w:hAnsi="Arial" w:cs="Arial"/>
                    </w:rPr>
                    <w:t>156</w:t>
                  </w:r>
                </w:p>
              </w:tc>
            </w:tr>
            <w:tr w:rsidR="00353F67" w14:paraId="32820AD6" w14:textId="77777777">
              <w:tc>
                <w:tcPr>
                  <w:tcW w:w="4390" w:type="dxa"/>
                  <w:tcBorders>
                    <w:top w:val="single" w:sz="4" w:space="0" w:color="auto"/>
                    <w:left w:val="single" w:sz="4" w:space="0" w:color="auto"/>
                    <w:bottom w:val="single" w:sz="4" w:space="0" w:color="auto"/>
                    <w:right w:val="single" w:sz="4" w:space="0" w:color="auto"/>
                  </w:tcBorders>
                  <w:hideMark/>
                </w:tcPr>
                <w:p w14:paraId="539BFC5A" w14:textId="77777777" w:rsidR="00353F67" w:rsidRDefault="00353F67">
                  <w:pPr>
                    <w:pStyle w:val="ListParagraph"/>
                    <w:ind w:left="0"/>
                    <w:rPr>
                      <w:rFonts w:ascii="Arial" w:eastAsia="Times New Roman" w:hAnsi="Arial" w:cs="Arial"/>
                    </w:rPr>
                  </w:pPr>
                  <w:r>
                    <w:rPr>
                      <w:rFonts w:ascii="Arial" w:eastAsia="Times New Roman" w:hAnsi="Arial" w:cs="Arial"/>
                    </w:rPr>
                    <w:t>QL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22CFA10" w14:textId="77777777" w:rsidR="00353F67" w:rsidRDefault="00353F67">
                  <w:pPr>
                    <w:pStyle w:val="ListParagraph"/>
                    <w:ind w:left="0"/>
                    <w:jc w:val="center"/>
                    <w:rPr>
                      <w:rFonts w:ascii="Arial" w:eastAsia="Times New Roman" w:hAnsi="Arial" w:cs="Arial"/>
                    </w:rPr>
                  </w:pPr>
                  <w:r>
                    <w:rPr>
                      <w:rFonts w:ascii="Arial" w:eastAsia="Times New Roman" w:hAnsi="Arial" w:cs="Arial"/>
                    </w:rPr>
                    <w:t>63.8%</w:t>
                  </w:r>
                </w:p>
              </w:tc>
            </w:tr>
            <w:tr w:rsidR="00353F67" w14:paraId="25068969" w14:textId="77777777">
              <w:tc>
                <w:tcPr>
                  <w:tcW w:w="4390" w:type="dxa"/>
                  <w:tcBorders>
                    <w:top w:val="single" w:sz="4" w:space="0" w:color="auto"/>
                    <w:left w:val="single" w:sz="4" w:space="0" w:color="auto"/>
                    <w:bottom w:val="single" w:sz="4" w:space="0" w:color="auto"/>
                    <w:right w:val="single" w:sz="4" w:space="0" w:color="auto"/>
                  </w:tcBorders>
                  <w:hideMark/>
                </w:tcPr>
                <w:p w14:paraId="41E6711C" w14:textId="77777777" w:rsidR="00353F67" w:rsidRDefault="00353F67">
                  <w:pPr>
                    <w:pStyle w:val="ListParagraph"/>
                    <w:ind w:left="0"/>
                    <w:rPr>
                      <w:rFonts w:ascii="Arial" w:eastAsia="Times New Roman" w:hAnsi="Arial" w:cs="Arial"/>
                    </w:rPr>
                  </w:pPr>
                  <w:r>
                    <w:rPr>
                      <w:rFonts w:ascii="Arial" w:eastAsia="Times New Roman" w:hAnsi="Arial" w:cs="Arial"/>
                    </w:rPr>
                    <w:t>QL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408E0FF2" w14:textId="77777777" w:rsidR="00353F67" w:rsidRDefault="00353F67">
                  <w:pPr>
                    <w:pStyle w:val="ListParagraph"/>
                    <w:ind w:left="0"/>
                    <w:jc w:val="center"/>
                    <w:rPr>
                      <w:rFonts w:ascii="Arial" w:eastAsia="Times New Roman" w:hAnsi="Arial" w:cs="Arial"/>
                    </w:rPr>
                  </w:pPr>
                  <w:r>
                    <w:rPr>
                      <w:rFonts w:ascii="Arial" w:eastAsia="Times New Roman" w:hAnsi="Arial" w:cs="Arial"/>
                    </w:rPr>
                    <w:t>36.2%</w:t>
                  </w:r>
                </w:p>
              </w:tc>
            </w:tr>
          </w:tbl>
          <w:p w14:paraId="06D25A76" w14:textId="77777777" w:rsidR="00353F67" w:rsidRDefault="00353F67">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042"/>
              <w:gridCol w:w="1687"/>
            </w:tblGrid>
            <w:tr w:rsidR="00353F67" w14:paraId="48412380"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4EE52820" w14:textId="77777777" w:rsidR="00353F67" w:rsidRDefault="00353F67">
                  <w:pPr>
                    <w:pStyle w:val="ListParagraph"/>
                    <w:ind w:left="0"/>
                    <w:jc w:val="center"/>
                    <w:rPr>
                      <w:rFonts w:ascii="Arial" w:eastAsia="Times New Roman" w:hAnsi="Arial" w:cs="Arial"/>
                    </w:rPr>
                  </w:pPr>
                  <w:r>
                    <w:rPr>
                      <w:rFonts w:ascii="Arial" w:eastAsia="Times New Roman" w:hAnsi="Arial" w:cs="Arial"/>
                    </w:rPr>
                    <w:t>MD M/S QL Analysis</w:t>
                  </w:r>
                </w:p>
              </w:tc>
            </w:tr>
            <w:tr w:rsidR="00353F67" w14:paraId="01676BF6" w14:textId="77777777">
              <w:tc>
                <w:tcPr>
                  <w:tcW w:w="4390" w:type="dxa"/>
                  <w:tcBorders>
                    <w:top w:val="single" w:sz="4" w:space="0" w:color="auto"/>
                    <w:left w:val="single" w:sz="4" w:space="0" w:color="auto"/>
                    <w:bottom w:val="single" w:sz="4" w:space="0" w:color="auto"/>
                    <w:right w:val="single" w:sz="4" w:space="0" w:color="auto"/>
                  </w:tcBorders>
                  <w:hideMark/>
                </w:tcPr>
                <w:p w14:paraId="05FBB11B" w14:textId="77777777" w:rsidR="00353F67" w:rsidRDefault="00353F67">
                  <w:pPr>
                    <w:pStyle w:val="ListParagraph"/>
                    <w:ind w:left="0"/>
                    <w:rPr>
                      <w:rFonts w:ascii="Arial" w:eastAsia="Times New Roman" w:hAnsi="Arial" w:cs="Arial"/>
                    </w:rPr>
                  </w:pPr>
                  <w:r>
                    <w:rPr>
                      <w:rFonts w:ascii="Arial" w:eastAsia="Times New Roman" w:hAnsi="Arial" w:cs="Arial"/>
                    </w:rPr>
                    <w:t>Total QL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3C616DA" w14:textId="77777777" w:rsidR="00353F67" w:rsidRDefault="00353F67">
                  <w:pPr>
                    <w:pStyle w:val="ListParagraph"/>
                    <w:ind w:left="0"/>
                    <w:jc w:val="center"/>
                    <w:rPr>
                      <w:rFonts w:ascii="Arial" w:eastAsia="Times New Roman" w:hAnsi="Arial" w:cs="Arial"/>
                    </w:rPr>
                  </w:pPr>
                  <w:r>
                    <w:rPr>
                      <w:rFonts w:ascii="Arial" w:eastAsia="Times New Roman" w:hAnsi="Arial" w:cs="Arial"/>
                    </w:rPr>
                    <w:t>2</w:t>
                  </w:r>
                </w:p>
              </w:tc>
            </w:tr>
            <w:tr w:rsidR="00353F67" w14:paraId="302C5FF0" w14:textId="77777777">
              <w:tc>
                <w:tcPr>
                  <w:tcW w:w="4390" w:type="dxa"/>
                  <w:tcBorders>
                    <w:top w:val="single" w:sz="4" w:space="0" w:color="auto"/>
                    <w:left w:val="single" w:sz="4" w:space="0" w:color="auto"/>
                    <w:bottom w:val="single" w:sz="4" w:space="0" w:color="auto"/>
                    <w:right w:val="single" w:sz="4" w:space="0" w:color="auto"/>
                  </w:tcBorders>
                  <w:hideMark/>
                </w:tcPr>
                <w:p w14:paraId="77A569C5" w14:textId="77777777" w:rsidR="00353F67" w:rsidRDefault="00353F67">
                  <w:pPr>
                    <w:pStyle w:val="ListParagraph"/>
                    <w:ind w:left="0"/>
                    <w:rPr>
                      <w:rFonts w:ascii="Arial" w:eastAsia="Times New Roman" w:hAnsi="Arial" w:cs="Arial"/>
                    </w:rPr>
                  </w:pPr>
                  <w:r>
                    <w:rPr>
                      <w:rFonts w:ascii="Arial" w:eastAsia="Times New Roman" w:hAnsi="Arial" w:cs="Arial"/>
                    </w:rPr>
                    <w:t>Total QL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1FD7AD9F" w14:textId="77777777" w:rsidR="00353F67" w:rsidRDefault="00353F67">
                  <w:pPr>
                    <w:pStyle w:val="ListParagraph"/>
                    <w:ind w:left="0"/>
                    <w:jc w:val="center"/>
                    <w:rPr>
                      <w:rFonts w:ascii="Arial" w:eastAsia="Times New Roman" w:hAnsi="Arial" w:cs="Arial"/>
                    </w:rPr>
                  </w:pPr>
                  <w:r>
                    <w:rPr>
                      <w:rFonts w:ascii="Arial" w:eastAsia="Times New Roman" w:hAnsi="Arial" w:cs="Arial"/>
                    </w:rPr>
                    <w:t>2</w:t>
                  </w:r>
                </w:p>
              </w:tc>
            </w:tr>
            <w:tr w:rsidR="00353F67" w14:paraId="135083FC" w14:textId="77777777">
              <w:tc>
                <w:tcPr>
                  <w:tcW w:w="4390" w:type="dxa"/>
                  <w:tcBorders>
                    <w:top w:val="single" w:sz="4" w:space="0" w:color="auto"/>
                    <w:left w:val="single" w:sz="4" w:space="0" w:color="auto"/>
                    <w:bottom w:val="single" w:sz="4" w:space="0" w:color="auto"/>
                    <w:right w:val="single" w:sz="4" w:space="0" w:color="auto"/>
                  </w:tcBorders>
                  <w:hideMark/>
                </w:tcPr>
                <w:p w14:paraId="3169565A" w14:textId="77777777" w:rsidR="00353F67" w:rsidRDefault="00353F67">
                  <w:pPr>
                    <w:pStyle w:val="ListParagraph"/>
                    <w:ind w:left="0"/>
                    <w:rPr>
                      <w:rFonts w:ascii="Arial" w:eastAsia="Times New Roman" w:hAnsi="Arial" w:cs="Arial"/>
                    </w:rPr>
                  </w:pPr>
                  <w:r>
                    <w:rPr>
                      <w:rFonts w:ascii="Arial" w:eastAsia="Times New Roman" w:hAnsi="Arial" w:cs="Arial"/>
                    </w:rPr>
                    <w:t>Total QL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31227E35" w14:textId="77777777" w:rsidR="00353F67" w:rsidRDefault="00353F67">
                  <w:pPr>
                    <w:pStyle w:val="ListParagraph"/>
                    <w:ind w:left="0"/>
                    <w:jc w:val="center"/>
                    <w:rPr>
                      <w:rFonts w:ascii="Arial" w:eastAsia="Times New Roman" w:hAnsi="Arial" w:cs="Arial"/>
                    </w:rPr>
                  </w:pPr>
                  <w:r>
                    <w:rPr>
                      <w:rFonts w:ascii="Arial" w:eastAsia="Times New Roman" w:hAnsi="Arial" w:cs="Arial"/>
                    </w:rPr>
                    <w:t>0</w:t>
                  </w:r>
                </w:p>
              </w:tc>
            </w:tr>
            <w:tr w:rsidR="00353F67" w14:paraId="1DB7FD96" w14:textId="77777777">
              <w:tc>
                <w:tcPr>
                  <w:tcW w:w="4390" w:type="dxa"/>
                  <w:tcBorders>
                    <w:top w:val="single" w:sz="4" w:space="0" w:color="auto"/>
                    <w:left w:val="single" w:sz="4" w:space="0" w:color="auto"/>
                    <w:bottom w:val="single" w:sz="4" w:space="0" w:color="auto"/>
                    <w:right w:val="single" w:sz="4" w:space="0" w:color="auto"/>
                  </w:tcBorders>
                  <w:hideMark/>
                </w:tcPr>
                <w:p w14:paraId="12E40E07" w14:textId="77777777" w:rsidR="00353F67" w:rsidRDefault="00353F67">
                  <w:pPr>
                    <w:pStyle w:val="ListParagraph"/>
                    <w:ind w:left="0"/>
                    <w:rPr>
                      <w:rFonts w:ascii="Arial" w:eastAsia="Times New Roman" w:hAnsi="Arial" w:cs="Arial"/>
                    </w:rPr>
                  </w:pPr>
                  <w:r>
                    <w:rPr>
                      <w:rFonts w:ascii="Arial" w:eastAsia="Times New Roman" w:hAnsi="Arial" w:cs="Arial"/>
                    </w:rPr>
                    <w:t>QL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1FACDDA" w14:textId="77777777" w:rsidR="00353F67" w:rsidRDefault="00353F67">
                  <w:pPr>
                    <w:pStyle w:val="ListParagraph"/>
                    <w:ind w:left="0"/>
                    <w:jc w:val="center"/>
                    <w:rPr>
                      <w:rFonts w:ascii="Arial" w:eastAsia="Times New Roman" w:hAnsi="Arial" w:cs="Arial"/>
                    </w:rPr>
                  </w:pPr>
                  <w:r>
                    <w:rPr>
                      <w:rFonts w:ascii="Arial" w:eastAsia="Times New Roman" w:hAnsi="Arial" w:cs="Arial"/>
                    </w:rPr>
                    <w:t>100%</w:t>
                  </w:r>
                </w:p>
              </w:tc>
            </w:tr>
            <w:tr w:rsidR="00353F67" w14:paraId="62DD588F" w14:textId="77777777">
              <w:tc>
                <w:tcPr>
                  <w:tcW w:w="4390" w:type="dxa"/>
                  <w:tcBorders>
                    <w:top w:val="single" w:sz="4" w:space="0" w:color="auto"/>
                    <w:left w:val="single" w:sz="4" w:space="0" w:color="auto"/>
                    <w:bottom w:val="single" w:sz="4" w:space="0" w:color="auto"/>
                    <w:right w:val="single" w:sz="4" w:space="0" w:color="auto"/>
                  </w:tcBorders>
                  <w:hideMark/>
                </w:tcPr>
                <w:p w14:paraId="368831B8" w14:textId="77777777" w:rsidR="00353F67" w:rsidRDefault="00353F67">
                  <w:pPr>
                    <w:pStyle w:val="ListParagraph"/>
                    <w:ind w:left="0"/>
                    <w:rPr>
                      <w:rFonts w:ascii="Arial" w:eastAsia="Times New Roman" w:hAnsi="Arial" w:cs="Arial"/>
                    </w:rPr>
                  </w:pPr>
                  <w:r>
                    <w:rPr>
                      <w:rFonts w:ascii="Arial" w:eastAsia="Times New Roman" w:hAnsi="Arial" w:cs="Arial"/>
                    </w:rPr>
                    <w:t>QL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1E82B99" w14:textId="77777777" w:rsidR="00353F67" w:rsidRDefault="00353F67">
                  <w:pPr>
                    <w:pStyle w:val="ListParagraph"/>
                    <w:ind w:left="0"/>
                    <w:jc w:val="center"/>
                    <w:rPr>
                      <w:rFonts w:ascii="Arial" w:eastAsia="Times New Roman" w:hAnsi="Arial" w:cs="Arial"/>
                    </w:rPr>
                  </w:pPr>
                  <w:r>
                    <w:rPr>
                      <w:rFonts w:ascii="Arial" w:eastAsia="Times New Roman" w:hAnsi="Arial" w:cs="Arial"/>
                    </w:rPr>
                    <w:t>0%</w:t>
                  </w:r>
                </w:p>
              </w:tc>
            </w:tr>
          </w:tbl>
          <w:p w14:paraId="609B46D4" w14:textId="77777777" w:rsidR="00353F67" w:rsidRDefault="00353F67">
            <w:pPr>
              <w:rPr>
                <w:rFonts w:ascii="Arial" w:eastAsia="Times New Roman" w:hAnsi="Arial" w:cs="Arial"/>
              </w:rPr>
            </w:pPr>
          </w:p>
          <w:p w14:paraId="3FF92DE6" w14:textId="77777777" w:rsidR="00353F67" w:rsidRDefault="00353F67">
            <w:pPr>
              <w:rPr>
                <w:rFonts w:ascii="Arial" w:eastAsia="Times New Roman" w:hAnsi="Arial" w:cs="Arial"/>
              </w:rPr>
            </w:pPr>
          </w:p>
          <w:p w14:paraId="5562A632" w14:textId="77777777" w:rsidR="00353F67" w:rsidRDefault="00353F67">
            <w:pPr>
              <w:rPr>
                <w:rFonts w:ascii="Arial" w:eastAsia="Times New Roman" w:hAnsi="Arial" w:cs="Arial"/>
              </w:rPr>
            </w:pPr>
          </w:p>
          <w:p w14:paraId="448EBD9B" w14:textId="77777777" w:rsidR="00353F67" w:rsidRDefault="00353F67">
            <w:pPr>
              <w:rPr>
                <w:rFonts w:ascii="Arial" w:eastAsia="Times New Roman" w:hAnsi="Arial" w:cs="Arial"/>
              </w:rPr>
            </w:pPr>
          </w:p>
          <w:p w14:paraId="330CBD4C" w14:textId="77777777" w:rsidR="00353F67" w:rsidRDefault="00353F67">
            <w:pPr>
              <w:rPr>
                <w:rFonts w:ascii="Arial" w:eastAsia="Times New Roman" w:hAnsi="Arial" w:cs="Arial"/>
              </w:rPr>
            </w:pPr>
          </w:p>
          <w:p w14:paraId="0AC6EC39" w14:textId="77777777" w:rsidR="00353F67" w:rsidRDefault="00353F67">
            <w:pPr>
              <w:rPr>
                <w:rFonts w:ascii="Arial" w:eastAsia="Times New Roman" w:hAnsi="Arial" w:cs="Arial"/>
              </w:rPr>
            </w:pPr>
          </w:p>
          <w:p w14:paraId="0C60F17F" w14:textId="77777777" w:rsidR="00353F67" w:rsidRDefault="00353F67">
            <w:pPr>
              <w:rPr>
                <w:rFonts w:ascii="Arial" w:eastAsia="Times New Roman" w:hAnsi="Arial" w:cs="Arial"/>
              </w:rPr>
            </w:pPr>
          </w:p>
          <w:p w14:paraId="7E1D3DBF" w14:textId="77777777" w:rsidR="00353F67" w:rsidRDefault="00353F67">
            <w:pPr>
              <w:rPr>
                <w:rFonts w:ascii="Arial" w:eastAsia="Times New Roman" w:hAnsi="Arial" w:cs="Arial"/>
              </w:rPr>
            </w:pPr>
          </w:p>
          <w:p w14:paraId="42D6B376" w14:textId="77777777" w:rsidR="00353F67" w:rsidRDefault="00353F67">
            <w:pPr>
              <w:rPr>
                <w:rFonts w:ascii="Arial" w:eastAsia="Times New Roman" w:hAnsi="Arial" w:cs="Arial"/>
              </w:rPr>
            </w:pPr>
          </w:p>
          <w:p w14:paraId="41AF7F13" w14:textId="77777777" w:rsidR="00353F67" w:rsidRDefault="00353F67">
            <w:pPr>
              <w:rPr>
                <w:rFonts w:ascii="Arial" w:eastAsia="Times New Roman" w:hAnsi="Arial" w:cs="Arial"/>
              </w:rPr>
            </w:pPr>
          </w:p>
          <w:p w14:paraId="04AAC124" w14:textId="77777777" w:rsidR="00353F67" w:rsidRDefault="00353F67">
            <w:pPr>
              <w:rPr>
                <w:rFonts w:ascii="Arial" w:eastAsia="Times New Roman" w:hAnsi="Arial" w:cs="Arial"/>
              </w:rPr>
            </w:pPr>
          </w:p>
          <w:p w14:paraId="25C02F43" w14:textId="77777777" w:rsidR="00353F67" w:rsidRDefault="00353F67">
            <w:pPr>
              <w:rPr>
                <w:rFonts w:ascii="Arial" w:eastAsia="Times New Roman" w:hAnsi="Arial" w:cs="Arial"/>
              </w:rPr>
            </w:pPr>
          </w:p>
          <w:p w14:paraId="58E1E51F" w14:textId="77777777" w:rsidR="00353F67" w:rsidRDefault="00353F67">
            <w:pPr>
              <w:rPr>
                <w:rFonts w:ascii="Arial" w:eastAsia="Times New Roman" w:hAnsi="Arial" w:cs="Arial"/>
              </w:rPr>
            </w:pPr>
          </w:p>
          <w:p w14:paraId="6D1FB08C" w14:textId="77777777" w:rsidR="00353F67" w:rsidRDefault="00353F67">
            <w:pPr>
              <w:rPr>
                <w:rFonts w:ascii="Arial" w:eastAsia="Times New Roman" w:hAnsi="Arial" w:cs="Arial"/>
              </w:rPr>
            </w:pPr>
          </w:p>
          <w:p w14:paraId="73C4E657" w14:textId="77777777" w:rsidR="00353F67" w:rsidRDefault="00353F67">
            <w:pPr>
              <w:rPr>
                <w:rFonts w:ascii="Arial" w:eastAsia="Times New Roman" w:hAnsi="Arial" w:cs="Arial"/>
              </w:rPr>
            </w:pPr>
          </w:p>
          <w:p w14:paraId="63C57EA1" w14:textId="77777777" w:rsidR="00353F67" w:rsidRDefault="00353F67">
            <w:pPr>
              <w:rPr>
                <w:rFonts w:ascii="Arial" w:eastAsia="Times New Roman" w:hAnsi="Arial" w:cs="Arial"/>
              </w:rPr>
            </w:pPr>
          </w:p>
          <w:p w14:paraId="2A97DD67" w14:textId="77777777" w:rsidR="00353F67" w:rsidRDefault="00353F67">
            <w:pPr>
              <w:rPr>
                <w:rFonts w:ascii="Arial" w:eastAsia="Times New Roman" w:hAnsi="Arial" w:cs="Arial"/>
              </w:rPr>
            </w:pPr>
          </w:p>
          <w:p w14:paraId="1F157603" w14:textId="77777777" w:rsidR="00353F67" w:rsidRDefault="00353F67">
            <w:pPr>
              <w:rPr>
                <w:rFonts w:ascii="Arial" w:eastAsia="Times New Roman" w:hAnsi="Arial" w:cs="Arial"/>
              </w:rPr>
            </w:pPr>
          </w:p>
          <w:p w14:paraId="155D1068" w14:textId="77777777" w:rsidR="00353F67" w:rsidRDefault="00353F67">
            <w:pPr>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2E4B2BEA" w14:textId="77777777" w:rsidR="00353F67" w:rsidRDefault="00353F67">
            <w:pPr>
              <w:rPr>
                <w:rFonts w:ascii="Arial" w:hAnsi="Arial" w:cs="Arial"/>
              </w:rPr>
            </w:pPr>
          </w:p>
          <w:p w14:paraId="14E08A73" w14:textId="77777777" w:rsidR="00353F67" w:rsidRDefault="00353F67">
            <w:pPr>
              <w:rPr>
                <w:rFonts w:ascii="Arial" w:hAnsi="Arial" w:cs="Arial"/>
              </w:rPr>
            </w:pPr>
            <w:r>
              <w:rPr>
                <w:rFonts w:ascii="Arial" w:hAnsi="Arial" w:cs="Arial"/>
              </w:rPr>
              <w:t>To ensure that the processes, strategies, evidentiary standards, and other factors used to apply prior authorization to MH/SUD drugs, in operation, are comparable to, and are applied no more stringently than, the processes, strategies, evidentiary standards, and other factors used to apply quantity limit to M/S drugs, QL for prescription drugs is analyzed semi-annually. One analysis we completed was a review of the percentage of drugs in the M/S and MH/SUD classifications that are subject to a quantity limit. See table below for MH/SUD results.</w:t>
            </w:r>
          </w:p>
          <w:p w14:paraId="052C1A79" w14:textId="77777777" w:rsidR="00353F67" w:rsidRDefault="00353F67">
            <w:pPr>
              <w:rPr>
                <w:rFonts w:ascii="Arial" w:eastAsia="Times New Roman" w:hAnsi="Arial" w:cs="Arial"/>
              </w:rPr>
            </w:pPr>
          </w:p>
          <w:tbl>
            <w:tblPr>
              <w:tblStyle w:val="TableGrid"/>
              <w:tblW w:w="0" w:type="auto"/>
              <w:tblLook w:val="04A0" w:firstRow="1" w:lastRow="0" w:firstColumn="1" w:lastColumn="0" w:noHBand="0" w:noVBand="1"/>
            </w:tblPr>
            <w:tblGrid>
              <w:gridCol w:w="2387"/>
              <w:gridCol w:w="2062"/>
            </w:tblGrid>
            <w:tr w:rsidR="00353F67" w14:paraId="0E7EF677" w14:textId="77777777">
              <w:trPr>
                <w:trHeight w:val="741"/>
              </w:trPr>
              <w:tc>
                <w:tcPr>
                  <w:tcW w:w="9314" w:type="dxa"/>
                  <w:gridSpan w:val="2"/>
                  <w:tcBorders>
                    <w:top w:val="single" w:sz="4" w:space="0" w:color="auto"/>
                    <w:left w:val="single" w:sz="4" w:space="0" w:color="auto"/>
                    <w:bottom w:val="single" w:sz="4" w:space="0" w:color="auto"/>
                    <w:right w:val="single" w:sz="4" w:space="0" w:color="auto"/>
                  </w:tcBorders>
                  <w:hideMark/>
                </w:tcPr>
                <w:p w14:paraId="08004C62" w14:textId="77777777" w:rsidR="00353F67" w:rsidRDefault="00353F67">
                  <w:pPr>
                    <w:pStyle w:val="BodyText"/>
                    <w:spacing w:before="223" w:line="264" w:lineRule="auto"/>
                    <w:jc w:val="center"/>
                    <w:rPr>
                      <w:rFonts w:ascii="Arial" w:eastAsiaTheme="minorHAnsi" w:hAnsi="Arial" w:cs="Arial"/>
                      <w:sz w:val="22"/>
                      <w:szCs w:val="22"/>
                    </w:rPr>
                  </w:pPr>
                  <w:r>
                    <w:rPr>
                      <w:rFonts w:ascii="Arial" w:hAnsi="Arial" w:cs="Arial"/>
                      <w:sz w:val="22"/>
                      <w:szCs w:val="22"/>
                    </w:rPr>
                    <w:t>MH/SUD QL Requirements</w:t>
                  </w:r>
                </w:p>
              </w:tc>
            </w:tr>
            <w:tr w:rsidR="00353F67" w14:paraId="0823CFAD"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37C1E2D0"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Total MH/SUD Drugs</w:t>
                  </w:r>
                </w:p>
              </w:tc>
              <w:tc>
                <w:tcPr>
                  <w:tcW w:w="4657" w:type="dxa"/>
                  <w:tcBorders>
                    <w:top w:val="single" w:sz="4" w:space="0" w:color="auto"/>
                    <w:left w:val="single" w:sz="4" w:space="0" w:color="auto"/>
                    <w:bottom w:val="single" w:sz="4" w:space="0" w:color="auto"/>
                    <w:right w:val="single" w:sz="4" w:space="0" w:color="auto"/>
                  </w:tcBorders>
                  <w:hideMark/>
                </w:tcPr>
                <w:p w14:paraId="24270627"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772</w:t>
                  </w:r>
                </w:p>
              </w:tc>
            </w:tr>
            <w:tr w:rsidR="00353F67" w14:paraId="708BDF6F"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60E2DA97"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Total MH/SUD Drugs Requiring QL</w:t>
                  </w:r>
                </w:p>
              </w:tc>
              <w:tc>
                <w:tcPr>
                  <w:tcW w:w="4657" w:type="dxa"/>
                  <w:tcBorders>
                    <w:top w:val="single" w:sz="4" w:space="0" w:color="auto"/>
                    <w:left w:val="single" w:sz="4" w:space="0" w:color="auto"/>
                    <w:bottom w:val="single" w:sz="4" w:space="0" w:color="auto"/>
                    <w:right w:val="single" w:sz="4" w:space="0" w:color="auto"/>
                  </w:tcBorders>
                  <w:hideMark/>
                </w:tcPr>
                <w:p w14:paraId="79E8BC47"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285</w:t>
                  </w:r>
                </w:p>
              </w:tc>
            </w:tr>
            <w:tr w:rsidR="00353F67" w14:paraId="23439A6C" w14:textId="77777777">
              <w:trPr>
                <w:trHeight w:val="742"/>
              </w:trPr>
              <w:tc>
                <w:tcPr>
                  <w:tcW w:w="4657" w:type="dxa"/>
                  <w:tcBorders>
                    <w:top w:val="single" w:sz="4" w:space="0" w:color="auto"/>
                    <w:left w:val="single" w:sz="4" w:space="0" w:color="auto"/>
                    <w:bottom w:val="single" w:sz="4" w:space="0" w:color="auto"/>
                    <w:right w:val="single" w:sz="4" w:space="0" w:color="auto"/>
                  </w:tcBorders>
                  <w:hideMark/>
                </w:tcPr>
                <w:p w14:paraId="4107980A"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QL Required Rate</w:t>
                  </w:r>
                </w:p>
              </w:tc>
              <w:tc>
                <w:tcPr>
                  <w:tcW w:w="4657" w:type="dxa"/>
                  <w:tcBorders>
                    <w:top w:val="single" w:sz="4" w:space="0" w:color="auto"/>
                    <w:left w:val="single" w:sz="4" w:space="0" w:color="auto"/>
                    <w:bottom w:val="single" w:sz="4" w:space="0" w:color="auto"/>
                    <w:right w:val="single" w:sz="4" w:space="0" w:color="auto"/>
                  </w:tcBorders>
                  <w:hideMark/>
                </w:tcPr>
                <w:p w14:paraId="5B609511" w14:textId="77777777" w:rsidR="00353F67" w:rsidRDefault="00353F67">
                  <w:pPr>
                    <w:pStyle w:val="BodyText"/>
                    <w:spacing w:before="223" w:line="264" w:lineRule="auto"/>
                    <w:rPr>
                      <w:rFonts w:ascii="Arial" w:hAnsi="Arial" w:cs="Arial"/>
                      <w:sz w:val="22"/>
                      <w:szCs w:val="22"/>
                    </w:rPr>
                  </w:pPr>
                  <w:r>
                    <w:rPr>
                      <w:rFonts w:ascii="Arial" w:hAnsi="Arial" w:cs="Arial"/>
                      <w:sz w:val="22"/>
                      <w:szCs w:val="22"/>
                    </w:rPr>
                    <w:t>37%</w:t>
                  </w:r>
                </w:p>
              </w:tc>
            </w:tr>
          </w:tbl>
          <w:p w14:paraId="41C0A4B2" w14:textId="77777777" w:rsidR="00353F67" w:rsidRDefault="00353F67" w:rsidP="00353F67">
            <w:pPr>
              <w:pStyle w:val="BodyText"/>
              <w:numPr>
                <w:ilvl w:val="0"/>
                <w:numId w:val="57"/>
              </w:numPr>
              <w:spacing w:before="223" w:line="264" w:lineRule="auto"/>
              <w:rPr>
                <w:rFonts w:ascii="Arial" w:hAnsi="Arial" w:cs="Arial"/>
                <w:sz w:val="22"/>
                <w:szCs w:val="22"/>
              </w:rPr>
            </w:pPr>
            <w:r>
              <w:rPr>
                <w:rFonts w:ascii="Arial" w:hAnsi="Arial" w:cs="Arial"/>
                <w:sz w:val="22"/>
                <w:szCs w:val="22"/>
              </w:rPr>
              <w:t>Although the percentage of MH/SUD drugs is slightly higher than the M/S drugs, the selection process of drugs for the QL NQTL are still considered comparable to that for M/S drugs. The factors and sources used are the same for both MH/SUD and M/S drugs. One reason for the higher percentage seen in the MH/SUD drugs is due to safety concerns. MH/SUD drugs can have serious side effects, and many have potential for abuse, so quantity limits would help ensure patients are not taking more than what is approved by the FDA.  Some drugs in the M/S class have similar concerns, but since the M/S category is so broad, it is a much smaller percentage compared to the MH/SUD category. There are also many more subcategories within the M/S class compared to the MH/SUD class of drugs. Many of those subcategories do not or rarely have traditionally have Quantity Limit edits (i.e. Allergenic Extracts, Antidotes, Detergents, Diagnostic Agents, etc.).</w:t>
            </w:r>
          </w:p>
          <w:p w14:paraId="167B2333" w14:textId="77777777" w:rsidR="00353F67" w:rsidRDefault="00353F67" w:rsidP="00353F67">
            <w:pPr>
              <w:pStyle w:val="ListParagraph"/>
              <w:numPr>
                <w:ilvl w:val="0"/>
                <w:numId w:val="56"/>
              </w:numPr>
              <w:spacing w:after="0" w:line="240" w:lineRule="auto"/>
              <w:rPr>
                <w:rFonts w:ascii="Arial" w:eastAsia="Times New Roman" w:hAnsi="Arial" w:cs="Arial"/>
              </w:rPr>
            </w:pPr>
            <w:r>
              <w:rPr>
                <w:rFonts w:ascii="Arial" w:eastAsia="Times New Roman" w:hAnsi="Arial" w:cs="Arial"/>
              </w:rPr>
              <w:t xml:space="preserve">We also completed an analysis of the turnaround times for QL exception requests to be issued either an approval or denial. On average, the turnaround time for MH/SUD drugs was less than 1 </w:t>
            </w:r>
            <w:proofErr w:type="gramStart"/>
            <w:r>
              <w:rPr>
                <w:rFonts w:ascii="Arial" w:eastAsia="Times New Roman" w:hAnsi="Arial" w:cs="Arial"/>
              </w:rPr>
              <w:t>day</w:t>
            </w:r>
            <w:proofErr w:type="gramEnd"/>
          </w:p>
          <w:p w14:paraId="0D020989" w14:textId="77777777" w:rsidR="00353F67" w:rsidRDefault="00353F67">
            <w:pPr>
              <w:pStyle w:val="ListParagraph"/>
              <w:rPr>
                <w:rFonts w:ascii="Arial" w:eastAsia="Times New Roman" w:hAnsi="Arial" w:cs="Arial"/>
              </w:rPr>
            </w:pPr>
          </w:p>
          <w:p w14:paraId="2234947A" w14:textId="77777777" w:rsidR="00353F67" w:rsidRDefault="00353F67" w:rsidP="00353F67">
            <w:pPr>
              <w:pStyle w:val="ListParagraph"/>
              <w:numPr>
                <w:ilvl w:val="0"/>
                <w:numId w:val="56"/>
              </w:numPr>
              <w:spacing w:after="0" w:line="240" w:lineRule="auto"/>
              <w:rPr>
                <w:rFonts w:ascii="Arial" w:eastAsia="Times New Roman" w:hAnsi="Arial" w:cs="Arial"/>
              </w:rPr>
            </w:pPr>
            <w:r>
              <w:rPr>
                <w:rFonts w:ascii="Arial" w:hAnsi="Arial" w:cs="Arial"/>
              </w:rPr>
              <w:t xml:space="preserve">We also completed an analysis of denial rates for requests for quantity limit exceptions in </w:t>
            </w:r>
            <w:proofErr w:type="gramStart"/>
            <w:r>
              <w:rPr>
                <w:rFonts w:ascii="Arial" w:hAnsi="Arial" w:cs="Arial"/>
              </w:rPr>
              <w:t>calendar</w:t>
            </w:r>
            <w:proofErr w:type="gramEnd"/>
            <w:r>
              <w:rPr>
                <w:rFonts w:ascii="Arial" w:hAnsi="Arial" w:cs="Arial"/>
              </w:rPr>
              <w:t xml:space="preserve"> year 2021. Results can be seen in the table below. </w:t>
            </w:r>
          </w:p>
          <w:p w14:paraId="5630DFA4" w14:textId="77777777" w:rsidR="00353F67" w:rsidRDefault="00353F67">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085"/>
              <w:gridCol w:w="1644"/>
            </w:tblGrid>
            <w:tr w:rsidR="00353F67" w14:paraId="27CE8B94"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2C006FD2" w14:textId="77777777" w:rsidR="00353F67" w:rsidRDefault="00353F67">
                  <w:pPr>
                    <w:pStyle w:val="ListParagraph"/>
                    <w:ind w:left="0"/>
                    <w:jc w:val="center"/>
                    <w:rPr>
                      <w:rFonts w:ascii="Arial" w:eastAsia="Times New Roman" w:hAnsi="Arial" w:cs="Arial"/>
                    </w:rPr>
                  </w:pPr>
                  <w:r>
                    <w:rPr>
                      <w:rFonts w:ascii="Arial" w:eastAsia="Times New Roman" w:hAnsi="Arial" w:cs="Arial"/>
                    </w:rPr>
                    <w:t>Global MH/SUD QL Analysis</w:t>
                  </w:r>
                </w:p>
              </w:tc>
            </w:tr>
            <w:tr w:rsidR="00353F67" w14:paraId="4FC4681A" w14:textId="77777777">
              <w:tc>
                <w:tcPr>
                  <w:tcW w:w="4390" w:type="dxa"/>
                  <w:tcBorders>
                    <w:top w:val="single" w:sz="4" w:space="0" w:color="auto"/>
                    <w:left w:val="single" w:sz="4" w:space="0" w:color="auto"/>
                    <w:bottom w:val="single" w:sz="4" w:space="0" w:color="auto"/>
                    <w:right w:val="single" w:sz="4" w:space="0" w:color="auto"/>
                  </w:tcBorders>
                  <w:hideMark/>
                </w:tcPr>
                <w:p w14:paraId="39CD80C3" w14:textId="77777777" w:rsidR="00353F67" w:rsidRDefault="00353F67">
                  <w:pPr>
                    <w:pStyle w:val="ListParagraph"/>
                    <w:ind w:left="0"/>
                    <w:rPr>
                      <w:rFonts w:ascii="Arial" w:eastAsia="Times New Roman" w:hAnsi="Arial" w:cs="Arial"/>
                    </w:rPr>
                  </w:pPr>
                  <w:r>
                    <w:rPr>
                      <w:rFonts w:ascii="Arial" w:eastAsia="Times New Roman" w:hAnsi="Arial" w:cs="Arial"/>
                    </w:rPr>
                    <w:t>Total QL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1BD18412" w14:textId="77777777" w:rsidR="00353F67" w:rsidRDefault="00353F67">
                  <w:pPr>
                    <w:pStyle w:val="ListParagraph"/>
                    <w:ind w:left="0"/>
                    <w:jc w:val="center"/>
                    <w:rPr>
                      <w:rFonts w:ascii="Arial" w:eastAsia="Times New Roman" w:hAnsi="Arial" w:cs="Arial"/>
                    </w:rPr>
                  </w:pPr>
                  <w:r>
                    <w:rPr>
                      <w:rFonts w:ascii="Arial" w:eastAsia="Times New Roman" w:hAnsi="Arial" w:cs="Arial"/>
                    </w:rPr>
                    <w:t>260</w:t>
                  </w:r>
                </w:p>
              </w:tc>
            </w:tr>
            <w:tr w:rsidR="00353F67" w14:paraId="18AD03CD" w14:textId="77777777">
              <w:tc>
                <w:tcPr>
                  <w:tcW w:w="4390" w:type="dxa"/>
                  <w:tcBorders>
                    <w:top w:val="single" w:sz="4" w:space="0" w:color="auto"/>
                    <w:left w:val="single" w:sz="4" w:space="0" w:color="auto"/>
                    <w:bottom w:val="single" w:sz="4" w:space="0" w:color="auto"/>
                    <w:right w:val="single" w:sz="4" w:space="0" w:color="auto"/>
                  </w:tcBorders>
                  <w:hideMark/>
                </w:tcPr>
                <w:p w14:paraId="3CDA84D0" w14:textId="77777777" w:rsidR="00353F67" w:rsidRDefault="00353F67">
                  <w:pPr>
                    <w:pStyle w:val="ListParagraph"/>
                    <w:ind w:left="0"/>
                    <w:rPr>
                      <w:rFonts w:ascii="Arial" w:eastAsia="Times New Roman" w:hAnsi="Arial" w:cs="Arial"/>
                    </w:rPr>
                  </w:pPr>
                  <w:r>
                    <w:rPr>
                      <w:rFonts w:ascii="Arial" w:eastAsia="Times New Roman" w:hAnsi="Arial" w:cs="Arial"/>
                    </w:rPr>
                    <w:t>Total QL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625F176" w14:textId="77777777" w:rsidR="00353F67" w:rsidRDefault="00353F67">
                  <w:pPr>
                    <w:pStyle w:val="ListParagraph"/>
                    <w:ind w:left="0"/>
                    <w:jc w:val="center"/>
                    <w:rPr>
                      <w:rFonts w:ascii="Arial" w:eastAsia="Times New Roman" w:hAnsi="Arial" w:cs="Arial"/>
                    </w:rPr>
                  </w:pPr>
                  <w:r>
                    <w:rPr>
                      <w:rFonts w:ascii="Arial" w:eastAsia="Times New Roman" w:hAnsi="Arial" w:cs="Arial"/>
                    </w:rPr>
                    <w:t>119</w:t>
                  </w:r>
                </w:p>
              </w:tc>
            </w:tr>
            <w:tr w:rsidR="00353F67" w14:paraId="56742FAC" w14:textId="77777777">
              <w:tc>
                <w:tcPr>
                  <w:tcW w:w="4390" w:type="dxa"/>
                  <w:tcBorders>
                    <w:top w:val="single" w:sz="4" w:space="0" w:color="auto"/>
                    <w:left w:val="single" w:sz="4" w:space="0" w:color="auto"/>
                    <w:bottom w:val="single" w:sz="4" w:space="0" w:color="auto"/>
                    <w:right w:val="single" w:sz="4" w:space="0" w:color="auto"/>
                  </w:tcBorders>
                  <w:hideMark/>
                </w:tcPr>
                <w:p w14:paraId="40779156" w14:textId="77777777" w:rsidR="00353F67" w:rsidRDefault="00353F67">
                  <w:pPr>
                    <w:pStyle w:val="ListParagraph"/>
                    <w:ind w:left="0"/>
                    <w:rPr>
                      <w:rFonts w:ascii="Arial" w:eastAsia="Times New Roman" w:hAnsi="Arial" w:cs="Arial"/>
                    </w:rPr>
                  </w:pPr>
                  <w:r>
                    <w:rPr>
                      <w:rFonts w:ascii="Arial" w:eastAsia="Times New Roman" w:hAnsi="Arial" w:cs="Arial"/>
                    </w:rPr>
                    <w:t>Total QL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460F5D1E" w14:textId="77777777" w:rsidR="00353F67" w:rsidRDefault="00353F67">
                  <w:pPr>
                    <w:pStyle w:val="ListParagraph"/>
                    <w:ind w:left="0"/>
                    <w:jc w:val="center"/>
                    <w:rPr>
                      <w:rFonts w:ascii="Arial" w:eastAsia="Times New Roman" w:hAnsi="Arial" w:cs="Arial"/>
                    </w:rPr>
                  </w:pPr>
                  <w:r>
                    <w:rPr>
                      <w:rFonts w:ascii="Arial" w:eastAsia="Times New Roman" w:hAnsi="Arial" w:cs="Arial"/>
                    </w:rPr>
                    <w:t>141</w:t>
                  </w:r>
                </w:p>
              </w:tc>
            </w:tr>
            <w:tr w:rsidR="00353F67" w14:paraId="5106D201" w14:textId="77777777">
              <w:tc>
                <w:tcPr>
                  <w:tcW w:w="4390" w:type="dxa"/>
                  <w:tcBorders>
                    <w:top w:val="single" w:sz="4" w:space="0" w:color="auto"/>
                    <w:left w:val="single" w:sz="4" w:space="0" w:color="auto"/>
                    <w:bottom w:val="single" w:sz="4" w:space="0" w:color="auto"/>
                    <w:right w:val="single" w:sz="4" w:space="0" w:color="auto"/>
                  </w:tcBorders>
                  <w:hideMark/>
                </w:tcPr>
                <w:p w14:paraId="4255C947" w14:textId="77777777" w:rsidR="00353F67" w:rsidRDefault="00353F67">
                  <w:pPr>
                    <w:pStyle w:val="ListParagraph"/>
                    <w:ind w:left="0"/>
                    <w:rPr>
                      <w:rFonts w:ascii="Arial" w:eastAsia="Times New Roman" w:hAnsi="Arial" w:cs="Arial"/>
                    </w:rPr>
                  </w:pPr>
                  <w:r>
                    <w:rPr>
                      <w:rFonts w:ascii="Arial" w:eastAsia="Times New Roman" w:hAnsi="Arial" w:cs="Arial"/>
                    </w:rPr>
                    <w:t>QL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701782EE" w14:textId="77777777" w:rsidR="00353F67" w:rsidRDefault="00353F67">
                  <w:pPr>
                    <w:pStyle w:val="ListParagraph"/>
                    <w:ind w:left="0"/>
                    <w:jc w:val="center"/>
                    <w:rPr>
                      <w:rFonts w:ascii="Arial" w:eastAsia="Times New Roman" w:hAnsi="Arial" w:cs="Arial"/>
                    </w:rPr>
                  </w:pPr>
                  <w:r>
                    <w:rPr>
                      <w:rFonts w:ascii="Arial" w:eastAsia="Times New Roman" w:hAnsi="Arial" w:cs="Arial"/>
                    </w:rPr>
                    <w:t>46%</w:t>
                  </w:r>
                </w:p>
              </w:tc>
            </w:tr>
            <w:tr w:rsidR="00353F67" w14:paraId="65655436" w14:textId="77777777">
              <w:tc>
                <w:tcPr>
                  <w:tcW w:w="4390" w:type="dxa"/>
                  <w:tcBorders>
                    <w:top w:val="single" w:sz="4" w:space="0" w:color="auto"/>
                    <w:left w:val="single" w:sz="4" w:space="0" w:color="auto"/>
                    <w:bottom w:val="single" w:sz="4" w:space="0" w:color="auto"/>
                    <w:right w:val="single" w:sz="4" w:space="0" w:color="auto"/>
                  </w:tcBorders>
                  <w:hideMark/>
                </w:tcPr>
                <w:p w14:paraId="0DB35FC9" w14:textId="77777777" w:rsidR="00353F67" w:rsidRDefault="00353F67">
                  <w:pPr>
                    <w:pStyle w:val="ListParagraph"/>
                    <w:ind w:left="0"/>
                    <w:rPr>
                      <w:rFonts w:ascii="Arial" w:eastAsia="Times New Roman" w:hAnsi="Arial" w:cs="Arial"/>
                    </w:rPr>
                  </w:pPr>
                  <w:r>
                    <w:rPr>
                      <w:rFonts w:ascii="Arial" w:eastAsia="Times New Roman" w:hAnsi="Arial" w:cs="Arial"/>
                    </w:rPr>
                    <w:t>QL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356E5951" w14:textId="77777777" w:rsidR="00353F67" w:rsidRDefault="00353F67">
                  <w:pPr>
                    <w:pStyle w:val="ListParagraph"/>
                    <w:ind w:left="0"/>
                    <w:jc w:val="center"/>
                    <w:rPr>
                      <w:rFonts w:ascii="Arial" w:eastAsia="Times New Roman" w:hAnsi="Arial" w:cs="Arial"/>
                    </w:rPr>
                  </w:pPr>
                  <w:r>
                    <w:rPr>
                      <w:rFonts w:ascii="Arial" w:eastAsia="Times New Roman" w:hAnsi="Arial" w:cs="Arial"/>
                    </w:rPr>
                    <w:t>54%</w:t>
                  </w:r>
                </w:p>
              </w:tc>
            </w:tr>
          </w:tbl>
          <w:p w14:paraId="7B5C8902" w14:textId="77777777" w:rsidR="00353F67" w:rsidRDefault="00353F67">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042"/>
              <w:gridCol w:w="1687"/>
            </w:tblGrid>
            <w:tr w:rsidR="00353F67" w14:paraId="4D391C46"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2801196C" w14:textId="77777777" w:rsidR="00353F67" w:rsidRDefault="00353F67">
                  <w:pPr>
                    <w:pStyle w:val="ListParagraph"/>
                    <w:ind w:left="0"/>
                    <w:jc w:val="center"/>
                    <w:rPr>
                      <w:rFonts w:ascii="Arial" w:eastAsia="Times New Roman" w:hAnsi="Arial" w:cs="Arial"/>
                    </w:rPr>
                  </w:pPr>
                  <w:r>
                    <w:rPr>
                      <w:rFonts w:ascii="Arial" w:eastAsia="Times New Roman" w:hAnsi="Arial" w:cs="Arial"/>
                    </w:rPr>
                    <w:t>MD MH/SUD QL Analysis</w:t>
                  </w:r>
                </w:p>
              </w:tc>
            </w:tr>
            <w:tr w:rsidR="00353F67" w14:paraId="564B251B" w14:textId="77777777">
              <w:tc>
                <w:tcPr>
                  <w:tcW w:w="4390" w:type="dxa"/>
                  <w:tcBorders>
                    <w:top w:val="single" w:sz="4" w:space="0" w:color="auto"/>
                    <w:left w:val="single" w:sz="4" w:space="0" w:color="auto"/>
                    <w:bottom w:val="single" w:sz="4" w:space="0" w:color="auto"/>
                    <w:right w:val="single" w:sz="4" w:space="0" w:color="auto"/>
                  </w:tcBorders>
                  <w:hideMark/>
                </w:tcPr>
                <w:p w14:paraId="22FE93AE" w14:textId="77777777" w:rsidR="00353F67" w:rsidRDefault="00353F67">
                  <w:pPr>
                    <w:pStyle w:val="ListParagraph"/>
                    <w:ind w:left="0"/>
                    <w:rPr>
                      <w:rFonts w:ascii="Arial" w:eastAsia="Times New Roman" w:hAnsi="Arial" w:cs="Arial"/>
                    </w:rPr>
                  </w:pPr>
                  <w:r>
                    <w:rPr>
                      <w:rFonts w:ascii="Arial" w:eastAsia="Times New Roman" w:hAnsi="Arial" w:cs="Arial"/>
                    </w:rPr>
                    <w:t>Total QL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1B74436B" w14:textId="77777777" w:rsidR="00353F67" w:rsidRDefault="00353F67">
                  <w:pPr>
                    <w:pStyle w:val="ListParagraph"/>
                    <w:ind w:left="0"/>
                    <w:jc w:val="center"/>
                    <w:rPr>
                      <w:rFonts w:ascii="Arial" w:eastAsia="Times New Roman" w:hAnsi="Arial" w:cs="Arial"/>
                    </w:rPr>
                  </w:pPr>
                  <w:r>
                    <w:rPr>
                      <w:rFonts w:ascii="Arial" w:eastAsia="Times New Roman" w:hAnsi="Arial" w:cs="Arial"/>
                    </w:rPr>
                    <w:t>1</w:t>
                  </w:r>
                </w:p>
              </w:tc>
            </w:tr>
            <w:tr w:rsidR="00353F67" w14:paraId="58C36465" w14:textId="77777777">
              <w:tc>
                <w:tcPr>
                  <w:tcW w:w="4390" w:type="dxa"/>
                  <w:tcBorders>
                    <w:top w:val="single" w:sz="4" w:space="0" w:color="auto"/>
                    <w:left w:val="single" w:sz="4" w:space="0" w:color="auto"/>
                    <w:bottom w:val="single" w:sz="4" w:space="0" w:color="auto"/>
                    <w:right w:val="single" w:sz="4" w:space="0" w:color="auto"/>
                  </w:tcBorders>
                  <w:hideMark/>
                </w:tcPr>
                <w:p w14:paraId="1BDB505B" w14:textId="77777777" w:rsidR="00353F67" w:rsidRDefault="00353F67">
                  <w:pPr>
                    <w:pStyle w:val="ListParagraph"/>
                    <w:ind w:left="0"/>
                    <w:rPr>
                      <w:rFonts w:ascii="Arial" w:eastAsia="Times New Roman" w:hAnsi="Arial" w:cs="Arial"/>
                    </w:rPr>
                  </w:pPr>
                  <w:r>
                    <w:rPr>
                      <w:rFonts w:ascii="Arial" w:eastAsia="Times New Roman" w:hAnsi="Arial" w:cs="Arial"/>
                    </w:rPr>
                    <w:t>Total QL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47A67AD7" w14:textId="77777777" w:rsidR="00353F67" w:rsidRDefault="00353F67">
                  <w:pPr>
                    <w:pStyle w:val="ListParagraph"/>
                    <w:ind w:left="0"/>
                    <w:jc w:val="center"/>
                    <w:rPr>
                      <w:rFonts w:ascii="Arial" w:eastAsia="Times New Roman" w:hAnsi="Arial" w:cs="Arial"/>
                    </w:rPr>
                  </w:pPr>
                  <w:r>
                    <w:rPr>
                      <w:rFonts w:ascii="Arial" w:eastAsia="Times New Roman" w:hAnsi="Arial" w:cs="Arial"/>
                    </w:rPr>
                    <w:t>1</w:t>
                  </w:r>
                </w:p>
              </w:tc>
            </w:tr>
            <w:tr w:rsidR="00353F67" w14:paraId="0453208C" w14:textId="77777777">
              <w:tc>
                <w:tcPr>
                  <w:tcW w:w="4390" w:type="dxa"/>
                  <w:tcBorders>
                    <w:top w:val="single" w:sz="4" w:space="0" w:color="auto"/>
                    <w:left w:val="single" w:sz="4" w:space="0" w:color="auto"/>
                    <w:bottom w:val="single" w:sz="4" w:space="0" w:color="auto"/>
                    <w:right w:val="single" w:sz="4" w:space="0" w:color="auto"/>
                  </w:tcBorders>
                  <w:hideMark/>
                </w:tcPr>
                <w:p w14:paraId="5AEF4BCF" w14:textId="77777777" w:rsidR="00353F67" w:rsidRDefault="00353F67">
                  <w:pPr>
                    <w:pStyle w:val="ListParagraph"/>
                    <w:ind w:left="0"/>
                    <w:rPr>
                      <w:rFonts w:ascii="Arial" w:eastAsia="Times New Roman" w:hAnsi="Arial" w:cs="Arial"/>
                    </w:rPr>
                  </w:pPr>
                  <w:r>
                    <w:rPr>
                      <w:rFonts w:ascii="Arial" w:eastAsia="Times New Roman" w:hAnsi="Arial" w:cs="Arial"/>
                    </w:rPr>
                    <w:t>Total QL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93C2B3A" w14:textId="77777777" w:rsidR="00353F67" w:rsidRDefault="00353F67">
                  <w:pPr>
                    <w:pStyle w:val="ListParagraph"/>
                    <w:ind w:left="0"/>
                    <w:jc w:val="center"/>
                    <w:rPr>
                      <w:rFonts w:ascii="Arial" w:eastAsia="Times New Roman" w:hAnsi="Arial" w:cs="Arial"/>
                    </w:rPr>
                  </w:pPr>
                  <w:r>
                    <w:rPr>
                      <w:rFonts w:ascii="Arial" w:eastAsia="Times New Roman" w:hAnsi="Arial" w:cs="Arial"/>
                    </w:rPr>
                    <w:t>0</w:t>
                  </w:r>
                </w:p>
              </w:tc>
            </w:tr>
            <w:tr w:rsidR="00353F67" w14:paraId="3F52EBCE" w14:textId="77777777">
              <w:tc>
                <w:tcPr>
                  <w:tcW w:w="4390" w:type="dxa"/>
                  <w:tcBorders>
                    <w:top w:val="single" w:sz="4" w:space="0" w:color="auto"/>
                    <w:left w:val="single" w:sz="4" w:space="0" w:color="auto"/>
                    <w:bottom w:val="single" w:sz="4" w:space="0" w:color="auto"/>
                    <w:right w:val="single" w:sz="4" w:space="0" w:color="auto"/>
                  </w:tcBorders>
                  <w:hideMark/>
                </w:tcPr>
                <w:p w14:paraId="0414517C" w14:textId="77777777" w:rsidR="00353F67" w:rsidRDefault="00353F67">
                  <w:pPr>
                    <w:pStyle w:val="ListParagraph"/>
                    <w:ind w:left="0"/>
                    <w:rPr>
                      <w:rFonts w:ascii="Arial" w:eastAsia="Times New Roman" w:hAnsi="Arial" w:cs="Arial"/>
                    </w:rPr>
                  </w:pPr>
                  <w:r>
                    <w:rPr>
                      <w:rFonts w:ascii="Arial" w:eastAsia="Times New Roman" w:hAnsi="Arial" w:cs="Arial"/>
                    </w:rPr>
                    <w:t>QL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1A86C57C" w14:textId="77777777" w:rsidR="00353F67" w:rsidRDefault="00353F67">
                  <w:pPr>
                    <w:pStyle w:val="ListParagraph"/>
                    <w:ind w:left="0"/>
                    <w:jc w:val="center"/>
                    <w:rPr>
                      <w:rFonts w:ascii="Arial" w:eastAsia="Times New Roman" w:hAnsi="Arial" w:cs="Arial"/>
                    </w:rPr>
                  </w:pPr>
                  <w:r>
                    <w:rPr>
                      <w:rFonts w:ascii="Arial" w:eastAsia="Times New Roman" w:hAnsi="Arial" w:cs="Arial"/>
                    </w:rPr>
                    <w:t>100%</w:t>
                  </w:r>
                </w:p>
              </w:tc>
            </w:tr>
            <w:tr w:rsidR="00353F67" w14:paraId="02EA9CC5" w14:textId="77777777">
              <w:tc>
                <w:tcPr>
                  <w:tcW w:w="4390" w:type="dxa"/>
                  <w:tcBorders>
                    <w:top w:val="single" w:sz="4" w:space="0" w:color="auto"/>
                    <w:left w:val="single" w:sz="4" w:space="0" w:color="auto"/>
                    <w:bottom w:val="single" w:sz="4" w:space="0" w:color="auto"/>
                    <w:right w:val="single" w:sz="4" w:space="0" w:color="auto"/>
                  </w:tcBorders>
                  <w:hideMark/>
                </w:tcPr>
                <w:p w14:paraId="6B2D1BCB" w14:textId="77777777" w:rsidR="00353F67" w:rsidRDefault="00353F67">
                  <w:pPr>
                    <w:pStyle w:val="ListParagraph"/>
                    <w:ind w:left="0"/>
                    <w:rPr>
                      <w:rFonts w:ascii="Arial" w:eastAsia="Times New Roman" w:hAnsi="Arial" w:cs="Arial"/>
                    </w:rPr>
                  </w:pPr>
                  <w:r>
                    <w:rPr>
                      <w:rFonts w:ascii="Arial" w:eastAsia="Times New Roman" w:hAnsi="Arial" w:cs="Arial"/>
                    </w:rPr>
                    <w:t>QL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3C903268" w14:textId="77777777" w:rsidR="00353F67" w:rsidRDefault="00353F67">
                  <w:pPr>
                    <w:pStyle w:val="ListParagraph"/>
                    <w:ind w:left="0"/>
                    <w:jc w:val="center"/>
                    <w:rPr>
                      <w:rFonts w:ascii="Arial" w:eastAsia="Times New Roman" w:hAnsi="Arial" w:cs="Arial"/>
                    </w:rPr>
                  </w:pPr>
                  <w:r>
                    <w:rPr>
                      <w:rFonts w:ascii="Arial" w:eastAsia="Times New Roman" w:hAnsi="Arial" w:cs="Arial"/>
                    </w:rPr>
                    <w:t>0%</w:t>
                  </w:r>
                </w:p>
              </w:tc>
            </w:tr>
          </w:tbl>
          <w:p w14:paraId="7D8CF500" w14:textId="77777777" w:rsidR="00353F67" w:rsidRDefault="00353F67">
            <w:pPr>
              <w:rPr>
                <w:rFonts w:ascii="Arial" w:eastAsia="Times New Roman" w:hAnsi="Arial" w:cs="Arial"/>
              </w:rPr>
            </w:pPr>
          </w:p>
        </w:tc>
      </w:tr>
      <w:tr w:rsidR="00353F67" w14:paraId="6AE0804D" w14:textId="77777777" w:rsidTr="00353F67">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B339" w14:textId="77777777" w:rsidR="00353F67" w:rsidRDefault="00353F67">
            <w:pPr>
              <w:rPr>
                <w:rFonts w:ascii="Arial" w:eastAsia="Times New Roman" w:hAnsi="Arial" w:cs="Arial"/>
                <w:bCs/>
                <w:i/>
              </w:rPr>
            </w:pPr>
            <w:r>
              <w:rPr>
                <w:rFonts w:ascii="Arial" w:eastAsia="Times New Roman" w:hAnsi="Arial" w:cs="Arial"/>
                <w:b/>
                <w:bCs/>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tc>
      </w:tr>
      <w:tr w:rsidR="00353F67" w14:paraId="2370DC35" w14:textId="77777777" w:rsidTr="00353F67">
        <w:trPr>
          <w:trHeight w:val="1988"/>
        </w:trPr>
        <w:tc>
          <w:tcPr>
            <w:tcW w:w="5000" w:type="pct"/>
            <w:gridSpan w:val="2"/>
            <w:tcBorders>
              <w:top w:val="single" w:sz="4" w:space="0" w:color="auto"/>
              <w:left w:val="single" w:sz="4" w:space="0" w:color="auto"/>
              <w:bottom w:val="single" w:sz="4" w:space="0" w:color="auto"/>
              <w:right w:val="single" w:sz="4" w:space="0" w:color="auto"/>
            </w:tcBorders>
          </w:tcPr>
          <w:p w14:paraId="41A6E7B5" w14:textId="77777777" w:rsidR="00353F67" w:rsidRDefault="00353F67">
            <w:pPr>
              <w:rPr>
                <w:rFonts w:ascii="Arial" w:hAnsi="Arial" w:cs="Arial"/>
              </w:rPr>
            </w:pPr>
            <w:r>
              <w:rPr>
                <w:rFonts w:ascii="Arial" w:eastAsia="Times New Roman" w:hAnsi="Arial" w:cs="Arial"/>
                <w:b/>
                <w:bCs/>
              </w:rPr>
              <w:t>As written</w:t>
            </w:r>
            <w:r>
              <w:rPr>
                <w:rFonts w:ascii="Arial" w:eastAsia="Times New Roman" w:hAnsi="Arial" w:cs="Arial"/>
              </w:rPr>
              <w:t xml:space="preserve">: The process for creating quantity limits for a drug is the same for both M/S and MH/SUD drugs.  </w:t>
            </w:r>
            <w:r>
              <w:rPr>
                <w:rFonts w:ascii="Arial" w:hAnsi="Arial" w:cs="Arial"/>
              </w:rPr>
              <w:t xml:space="preserve">The P&amp;T Policy &amp; Procedures and Formulary Management Policy are reviewed by Wellfleet’s Chief Medical Officer, Director of Clinical Programs, and Clinical Pharmacist, at least annually to ensure there is no verbiage indicating a bias towards any </w:t>
            </w:r>
            <w:proofErr w:type="gramStart"/>
            <w:r>
              <w:rPr>
                <w:rFonts w:ascii="Arial" w:hAnsi="Arial" w:cs="Arial"/>
              </w:rPr>
              <w:t>particular subset</w:t>
            </w:r>
            <w:proofErr w:type="gramEnd"/>
            <w:r>
              <w:rPr>
                <w:rFonts w:ascii="Arial" w:hAnsi="Arial" w:cs="Arial"/>
              </w:rPr>
              <w:t xml:space="preserve"> of drugs. These policies dictate that all decisions should be based </w:t>
            </w:r>
            <w:proofErr w:type="gramStart"/>
            <w:r>
              <w:rPr>
                <w:rFonts w:ascii="Arial" w:hAnsi="Arial" w:cs="Arial"/>
              </w:rPr>
              <w:t>off of</w:t>
            </w:r>
            <w:proofErr w:type="gramEnd"/>
            <w:r>
              <w:rPr>
                <w:rFonts w:ascii="Arial" w:hAnsi="Arial" w:cs="Arial"/>
              </w:rPr>
              <w:t xml:space="preserve"> the clinical merits of the drug, not the classification of </w:t>
            </w:r>
            <w:proofErr w:type="gramStart"/>
            <w:r>
              <w:rPr>
                <w:rFonts w:ascii="Arial" w:hAnsi="Arial" w:cs="Arial"/>
              </w:rPr>
              <w:t>drug</w:t>
            </w:r>
            <w:proofErr w:type="gramEnd"/>
            <w:r>
              <w:rPr>
                <w:rFonts w:ascii="Arial" w:hAnsi="Arial" w:cs="Arial"/>
              </w:rPr>
              <w:t xml:space="preserve"> itself. Quantity limit is imposed on drug products based on the factors presented previously for both classifications of drugs.</w:t>
            </w:r>
          </w:p>
          <w:p w14:paraId="068E5D60" w14:textId="77777777" w:rsidR="00353F67" w:rsidRDefault="00353F67">
            <w:pPr>
              <w:rPr>
                <w:rFonts w:ascii="Arial" w:hAnsi="Arial" w:cs="Arial"/>
                <w:bCs/>
              </w:rPr>
            </w:pPr>
            <w:r>
              <w:rPr>
                <w:rFonts w:ascii="Arial" w:eastAsia="Times New Roman" w:hAnsi="Arial" w:cs="Arial"/>
              </w:rPr>
              <w:t xml:space="preserve">Whether to recommend a quantity limit for a drug is based on the drug’s safety, anticipated excessive utilization, and member Impact. Whether each factor is met is based upon </w:t>
            </w:r>
            <w:r>
              <w:rPr>
                <w:rFonts w:ascii="Arial" w:hAnsi="Arial" w:cs="Arial"/>
                <w:bCs/>
              </w:rPr>
              <w:t xml:space="preserve">FDA Prescribing Information, professionally recognized treatment guidelines used to define clinically appropriate standards of care, nationally recognized Compendia - Truven Health Analytics Micromedex </w:t>
            </w:r>
            <w:proofErr w:type="spellStart"/>
            <w:r>
              <w:rPr>
                <w:rFonts w:ascii="Arial" w:hAnsi="Arial" w:cs="Arial"/>
                <w:bCs/>
              </w:rPr>
              <w:t>DrugDEX</w:t>
            </w:r>
            <w:proofErr w:type="spellEnd"/>
            <w:r>
              <w:rPr>
                <w:rFonts w:ascii="Arial" w:hAnsi="Arial" w:cs="Arial"/>
                <w:bCs/>
              </w:rPr>
              <w:t xml:space="preserve"> (</w:t>
            </w:r>
            <w:proofErr w:type="spellStart"/>
            <w:r>
              <w:rPr>
                <w:rFonts w:ascii="Arial" w:hAnsi="Arial" w:cs="Arial"/>
                <w:bCs/>
              </w:rPr>
              <w:t>DrugDEX</w:t>
            </w:r>
            <w:proofErr w:type="spellEnd"/>
            <w:r>
              <w:rPr>
                <w:rFonts w:ascii="Arial" w:hAnsi="Arial" w:cs="Arial"/>
                <w:bCs/>
              </w:rPr>
              <w:t xml:space="preserve">), peer-reviewed medical literature, </w:t>
            </w:r>
            <w:r>
              <w:rPr>
                <w:rFonts w:ascii="Arial" w:eastAsia="Times New Roman" w:hAnsi="Arial" w:cs="Arial"/>
                <w:bCs/>
              </w:rPr>
              <w:t>a</w:t>
            </w:r>
            <w:r>
              <w:rPr>
                <w:rFonts w:ascii="Arial" w:hAnsi="Arial" w:cs="Arial"/>
                <w:bCs/>
              </w:rPr>
              <w:t xml:space="preserve">ggregated data or non-identifiable utilization reports, </w:t>
            </w:r>
            <w:r>
              <w:rPr>
                <w:rFonts w:ascii="Arial" w:eastAsia="Times New Roman" w:hAnsi="Arial" w:cs="Arial"/>
              </w:rPr>
              <w:t xml:space="preserve">internal claims data, internal </w:t>
            </w:r>
            <w:proofErr w:type="gramStart"/>
            <w:r>
              <w:rPr>
                <w:rFonts w:ascii="Arial" w:eastAsia="Times New Roman" w:hAnsi="Arial" w:cs="Arial"/>
              </w:rPr>
              <w:t>market</w:t>
            </w:r>
            <w:proofErr w:type="gramEnd"/>
            <w:r>
              <w:rPr>
                <w:rFonts w:ascii="Arial" w:eastAsia="Times New Roman" w:hAnsi="Arial" w:cs="Arial"/>
              </w:rPr>
              <w:t xml:space="preserve"> and competitive analysis. The factors, standards and sources for those standards are the same regardless of whether a drug is a M/S or MH/SUD drug.</w:t>
            </w:r>
          </w:p>
          <w:p w14:paraId="1D350AE7" w14:textId="77777777" w:rsidR="00353F67" w:rsidRDefault="00353F67">
            <w:pPr>
              <w:rPr>
                <w:rFonts w:ascii="Arial" w:eastAsia="Times New Roman" w:hAnsi="Arial" w:cs="Arial"/>
              </w:rPr>
            </w:pPr>
            <w:r>
              <w:rPr>
                <w:rFonts w:ascii="Arial" w:eastAsia="Times New Roman" w:hAnsi="Arial" w:cs="Arial"/>
              </w:rPr>
              <w:t xml:space="preserve">Thus, we conclude that the processes, strategies, evidentiary standards, and other factors used to apply Quantity Limits to MH/SUD drugs, </w:t>
            </w:r>
            <w:r>
              <w:rPr>
                <w:rFonts w:ascii="Arial" w:eastAsia="Times New Roman" w:hAnsi="Arial" w:cs="Arial"/>
                <w:u w:val="single"/>
              </w:rPr>
              <w:t>as written</w:t>
            </w:r>
            <w:r>
              <w:rPr>
                <w:rFonts w:ascii="Arial" w:eastAsia="Times New Roman" w:hAnsi="Arial" w:cs="Arial"/>
              </w:rPr>
              <w:t>, are comparable to, and are applied no more stringently than, the processes, strategies, evidentiary standards, and other factors used to apply Quantity Limits to M/S drugs.</w:t>
            </w:r>
          </w:p>
          <w:p w14:paraId="11E59280" w14:textId="77777777" w:rsidR="00353F67" w:rsidRDefault="00353F67">
            <w:pPr>
              <w:rPr>
                <w:rFonts w:ascii="Arial" w:eastAsia="Times New Roman" w:hAnsi="Arial" w:cs="Arial"/>
              </w:rPr>
            </w:pPr>
            <w:r>
              <w:rPr>
                <w:rFonts w:ascii="Arial" w:eastAsia="Times New Roman" w:hAnsi="Arial" w:cs="Arial"/>
              </w:rPr>
              <w:t xml:space="preserve">Moreover, a request for quantity limits is subject to the same review process for both M/S and MH/SUD drugs, and the same reviewers are used for M/S and MH/SUD drug authorization reviews.  Authorizations for both M/S and MHSUD drugs are valid for 365 days from approval. Approvals may be for a shorter duration if the FDA labeling guidelines have strict duration of therapy limits or monitoring requirements after initiation. Other exceptions are for products that have regulatory implications, which will be approved based on the regulatory statute. Appeals turnaround times are the same for all drugs and are dependent on federal and state regulations to ensure </w:t>
            </w:r>
            <w:proofErr w:type="gramStart"/>
            <w:r>
              <w:rPr>
                <w:rFonts w:ascii="Arial" w:eastAsia="Times New Roman" w:hAnsi="Arial" w:cs="Arial"/>
              </w:rPr>
              <w:t>compliance</w:t>
            </w:r>
            <w:proofErr w:type="gramEnd"/>
          </w:p>
          <w:p w14:paraId="2975E4A6" w14:textId="77777777" w:rsidR="00353F67" w:rsidRDefault="00353F67">
            <w:pPr>
              <w:rPr>
                <w:rFonts w:ascii="Arial" w:eastAsia="Times New Roman" w:hAnsi="Arial" w:cs="Arial"/>
              </w:rPr>
            </w:pPr>
            <w:r>
              <w:rPr>
                <w:rFonts w:ascii="Arial" w:eastAsia="Times New Roman" w:hAnsi="Arial" w:cs="Arial"/>
                <w:b/>
                <w:bCs/>
              </w:rPr>
              <w:t>In Operation</w:t>
            </w:r>
            <w:r>
              <w:rPr>
                <w:rFonts w:ascii="Arial" w:eastAsia="Times New Roman" w:hAnsi="Arial" w:cs="Arial"/>
              </w:rPr>
              <w:t>: In operation, the percentage of MH/SUD drugs with approved quantity limits is lower than the percentage of M/S drugs requiring with approved quantity limits. The denial rate for MH/SUD drug requests (0%) is the same as the denial rate for M/S drug requests (0%). One</w:t>
            </w:r>
            <w:r>
              <w:rPr>
                <w:rFonts w:ascii="Arial" w:hAnsi="Arial" w:cs="Arial"/>
              </w:rPr>
              <w:t xml:space="preserve"> reason for the potential for higher denial percentage seen in the MH/SUD drugs is due to safety concerns. MH/SUD drugs can have serious side effects, and many have potential for abuse, so quantity limits would help ensure patients are not taking more than what is approved by the FDA. Some drugs in the M/S class have similar concerns, but since the M/S category is so broad, it is a much smaller percentage compared to the MH/SUD category. There are also many more subcategories within the M/S class compared to the MH/SUD class of drugs. Many of those subcategories do not or rarely have traditionally have Quantity Limit edits (i.e. Allergenic Extracts, Antidotes, Detergents, Diagnostic Agents, etc.). Wellfleet reviewed the data and associated claims and determined that the application of quantity limits and denial rates were clinically appropriate subject to the factors, sources, and evidentiary standards identified in Step 3. Moreover, federal parity guidance is clear that metrics alone are not indicative of parity non-compliance so long as the plan has investigated the data, the reasons for the underlying data, and has determined that the same processes, strategies, </w:t>
            </w:r>
            <w:proofErr w:type="gramStart"/>
            <w:r>
              <w:rPr>
                <w:rFonts w:ascii="Arial" w:hAnsi="Arial" w:cs="Arial"/>
              </w:rPr>
              <w:t>factors</w:t>
            </w:r>
            <w:proofErr w:type="gramEnd"/>
            <w:r>
              <w:rPr>
                <w:rFonts w:ascii="Arial" w:hAnsi="Arial" w:cs="Arial"/>
              </w:rPr>
              <w:t xml:space="preserve"> and evidentiary standards were applied to MH/SUD and M/S drugs. Wellfleet has done so </w:t>
            </w:r>
            <w:proofErr w:type="gramStart"/>
            <w:r>
              <w:rPr>
                <w:rFonts w:ascii="Arial" w:hAnsi="Arial" w:cs="Arial"/>
              </w:rPr>
              <w:t>here, and</w:t>
            </w:r>
            <w:proofErr w:type="gramEnd"/>
            <w:r>
              <w:rPr>
                <w:rFonts w:ascii="Arial" w:hAnsi="Arial" w:cs="Arial"/>
              </w:rPr>
              <w:t xml:space="preserve"> has determined MH/SUD and M/S drugs were treated comparably. </w:t>
            </w:r>
          </w:p>
          <w:p w14:paraId="421F0BF2" w14:textId="77777777" w:rsidR="00353F67" w:rsidRDefault="00353F67">
            <w:pPr>
              <w:rPr>
                <w:rFonts w:ascii="Arial" w:eastAsia="Times New Roman" w:hAnsi="Arial" w:cs="Arial"/>
              </w:rPr>
            </w:pPr>
            <w:r>
              <w:rPr>
                <w:rFonts w:ascii="Arial" w:eastAsia="Times New Roman" w:hAnsi="Arial" w:cs="Arial"/>
              </w:rPr>
              <w:t xml:space="preserve">Thus, we conclude that the processes, strategies, evidentiary standards, and other factors used to apply quantity limits to MH/SUD drugs, </w:t>
            </w:r>
            <w:r>
              <w:rPr>
                <w:rFonts w:ascii="Arial" w:eastAsia="Times New Roman" w:hAnsi="Arial" w:cs="Arial"/>
                <w:u w:val="single"/>
              </w:rPr>
              <w:t>in operation</w:t>
            </w:r>
            <w:r>
              <w:rPr>
                <w:rFonts w:ascii="Arial" w:eastAsia="Times New Roman" w:hAnsi="Arial" w:cs="Arial"/>
              </w:rPr>
              <w:t xml:space="preserve">, are comparable to, and are applied no more stringently than, the processes, strategies, evidentiary standards, and other factors used to apply quantity limits to M/S drugs. </w:t>
            </w:r>
          </w:p>
          <w:p w14:paraId="4E94C364" w14:textId="77777777" w:rsidR="00353F67" w:rsidRDefault="00353F67">
            <w:pPr>
              <w:rPr>
                <w:rFonts w:ascii="Arial" w:eastAsia="Times New Roman" w:hAnsi="Arial" w:cs="Arial"/>
              </w:rPr>
            </w:pPr>
            <w:r>
              <w:rPr>
                <w:rFonts w:ascii="Arial" w:eastAsia="Times New Roman" w:hAnsi="Arial" w:cs="Arial"/>
                <w:b/>
                <w:bCs/>
              </w:rPr>
              <w:t>Conclusion</w:t>
            </w:r>
            <w:r>
              <w:rPr>
                <w:rFonts w:ascii="Arial" w:eastAsia="Times New Roman" w:hAnsi="Arial" w:cs="Arial"/>
              </w:rPr>
              <w:t xml:space="preserve">: Both as written and in operation the processes, strategies, evidentiary standards, and other factors used to apply </w:t>
            </w:r>
            <w:r>
              <w:rPr>
                <w:rFonts w:ascii="Arial" w:eastAsia="Times New Roman" w:hAnsi="Arial" w:cs="Arial"/>
                <w:bCs/>
              </w:rPr>
              <w:t xml:space="preserve">Quantity Limits </w:t>
            </w:r>
            <w:r>
              <w:rPr>
                <w:rFonts w:ascii="Arial" w:eastAsia="Times New Roman" w:hAnsi="Arial" w:cs="Arial"/>
              </w:rPr>
              <w:t xml:space="preserve">to MH/SUD benefits are comparable to, and are applied no more stringently than, the processes, strategies, evidentiary standards, and other factors used to apply </w:t>
            </w:r>
            <w:r>
              <w:rPr>
                <w:rFonts w:ascii="Arial" w:eastAsia="Times New Roman" w:hAnsi="Arial" w:cs="Arial"/>
                <w:bCs/>
              </w:rPr>
              <w:t xml:space="preserve">Quantity Limits </w:t>
            </w:r>
            <w:r>
              <w:rPr>
                <w:rFonts w:ascii="Arial" w:eastAsia="Times New Roman" w:hAnsi="Arial" w:cs="Arial"/>
              </w:rPr>
              <w:t xml:space="preserve">to M/S benefits in the prescription drug classification. Therefore, the plan finds that the comparative analysis demonstrates its </w:t>
            </w:r>
            <w:r>
              <w:rPr>
                <w:rFonts w:ascii="Arial" w:eastAsia="Times New Roman" w:hAnsi="Arial" w:cs="Arial"/>
                <w:bCs/>
              </w:rPr>
              <w:t xml:space="preserve">Quantity Limits </w:t>
            </w:r>
            <w:r>
              <w:rPr>
                <w:rFonts w:ascii="Arial" w:eastAsia="Times New Roman" w:hAnsi="Arial" w:cs="Arial"/>
              </w:rPr>
              <w:t>practices are compliant with MHPAEA.</w:t>
            </w:r>
          </w:p>
          <w:p w14:paraId="1B338B39" w14:textId="77777777" w:rsidR="00353F67" w:rsidRDefault="00353F67">
            <w:pPr>
              <w:rPr>
                <w:rFonts w:ascii="Arial" w:eastAsia="Times New Roman" w:hAnsi="Arial" w:cs="Arial"/>
              </w:rPr>
            </w:pPr>
          </w:p>
        </w:tc>
      </w:tr>
    </w:tbl>
    <w:p w14:paraId="77BAFCC2" w14:textId="77777777" w:rsidR="0094211C" w:rsidRDefault="0094211C" w:rsidP="00C865B3">
      <w:pPr>
        <w:pStyle w:val="ListParagraph"/>
        <w:ind w:left="0"/>
        <w:rPr>
          <w:rFonts w:ascii="Century Gothic" w:hAnsi="Century Gothic"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87444" w14:paraId="53107272" w14:textId="77777777" w:rsidTr="00C87444">
        <w:trPr>
          <w:trHeight w:val="685"/>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95BA14" w14:textId="77777777" w:rsidR="00C87444" w:rsidRDefault="00C87444">
            <w:pPr>
              <w:rPr>
                <w:rFonts w:ascii="Arial" w:eastAsia="Times New Roman" w:hAnsi="Arial" w:cs="Arial"/>
                <w:b/>
                <w:bCs/>
                <w:sz w:val="44"/>
                <w:szCs w:val="44"/>
              </w:rPr>
            </w:pPr>
            <w:bookmarkStart w:id="36" w:name="OLE_LINK39"/>
            <w:r>
              <w:rPr>
                <w:rFonts w:ascii="Arial" w:eastAsia="Times New Roman" w:hAnsi="Arial" w:cs="Arial"/>
                <w:b/>
                <w:bCs/>
                <w:sz w:val="36"/>
                <w:szCs w:val="44"/>
              </w:rPr>
              <w:t>NQTL: Step Therapy</w:t>
            </w:r>
          </w:p>
        </w:tc>
      </w:tr>
      <w:tr w:rsidR="00C87444" w14:paraId="53E51D5B" w14:textId="77777777" w:rsidTr="00C87444">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36FCF" w14:textId="77777777" w:rsidR="00C87444" w:rsidRDefault="00C87444">
            <w:pPr>
              <w:rPr>
                <w:rFonts w:ascii="Arial" w:eastAsia="Times New Roman" w:hAnsi="Arial" w:cs="Arial"/>
                <w:b/>
                <w:bCs/>
                <w:sz w:val="28"/>
                <w:szCs w:val="36"/>
              </w:rPr>
            </w:pPr>
            <w:r>
              <w:rPr>
                <w:rFonts w:ascii="Arial" w:eastAsia="Times New Roman" w:hAnsi="Arial" w:cs="Arial"/>
                <w:b/>
                <w:bCs/>
                <w:sz w:val="28"/>
                <w:szCs w:val="36"/>
              </w:rPr>
              <w:t xml:space="preserve">Classification(s):  Prescription Drugs </w:t>
            </w:r>
          </w:p>
        </w:tc>
      </w:tr>
      <w:tr w:rsidR="00C87444" w14:paraId="0E460EE8" w14:textId="77777777" w:rsidTr="00C87444">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41F00" w14:textId="77777777" w:rsidR="00C87444" w:rsidRDefault="00C87444">
            <w:pPr>
              <w:rPr>
                <w:rFonts w:ascii="Arial" w:eastAsia="Times New Roman" w:hAnsi="Arial" w:cs="Arial"/>
                <w:b/>
                <w:bCs/>
              </w:rPr>
            </w:pPr>
            <w:r>
              <w:rPr>
                <w:rFonts w:ascii="Arial" w:eastAsia="Times New Roman" w:hAnsi="Arial" w:cs="Arial"/>
                <w:b/>
                <w:bCs/>
              </w:rPr>
              <w:t>Step 1 – Identify the specific plan or coverage terms or other relevant terms regarding Step Therapy and a description of all mental health or substance use disorder and medical or surgical benefits to which each such term applies in each respective benefits classification</w:t>
            </w:r>
          </w:p>
        </w:tc>
      </w:tr>
      <w:tr w:rsidR="00C87444" w14:paraId="6CB8593E" w14:textId="77777777" w:rsidTr="00C87444">
        <w:trPr>
          <w:trHeight w:val="1385"/>
        </w:trPr>
        <w:tc>
          <w:tcPr>
            <w:tcW w:w="5000" w:type="pct"/>
            <w:gridSpan w:val="2"/>
            <w:tcBorders>
              <w:top w:val="single" w:sz="4" w:space="0" w:color="auto"/>
              <w:left w:val="single" w:sz="4" w:space="0" w:color="auto"/>
              <w:bottom w:val="single" w:sz="4" w:space="0" w:color="auto"/>
              <w:right w:val="single" w:sz="4" w:space="0" w:color="auto"/>
            </w:tcBorders>
          </w:tcPr>
          <w:p w14:paraId="30B68DD5" w14:textId="77777777" w:rsidR="00C87444" w:rsidRDefault="00C87444">
            <w:pPr>
              <w:rPr>
                <w:rFonts w:ascii="Arial" w:eastAsia="Times New Roman" w:hAnsi="Arial" w:cs="Arial"/>
                <w:bCs/>
              </w:rPr>
            </w:pPr>
            <w:r>
              <w:rPr>
                <w:rFonts w:ascii="Arial" w:eastAsia="Times New Roman" w:hAnsi="Arial" w:cs="Arial"/>
                <w:b/>
                <w:bCs/>
                <w:i/>
              </w:rPr>
              <w:t>Provide a clear description of the specific NQTL, plan terms, and policies at issue</w:t>
            </w:r>
            <w:r>
              <w:rPr>
                <w:rFonts w:ascii="Arial" w:eastAsia="Times New Roman" w:hAnsi="Arial" w:cs="Arial"/>
                <w:bCs/>
              </w:rPr>
              <w:t>:</w:t>
            </w:r>
            <w:r>
              <w:rPr>
                <w:rStyle w:val="FootnoteReference"/>
                <w:rFonts w:ascii="Arial" w:eastAsia="Times New Roman" w:hAnsi="Arial" w:cs="Arial"/>
                <w:bCs/>
              </w:rPr>
              <w:footnoteReference w:id="55"/>
            </w:r>
            <w:r>
              <w:rPr>
                <w:rFonts w:ascii="Arial" w:eastAsia="Times New Roman" w:hAnsi="Arial" w:cs="Arial"/>
                <w:bCs/>
              </w:rPr>
              <w:t xml:space="preserve"> </w:t>
            </w:r>
          </w:p>
          <w:p w14:paraId="666BFD04" w14:textId="77777777" w:rsidR="00C87444" w:rsidRDefault="00C87444">
            <w:pPr>
              <w:rPr>
                <w:rFonts w:ascii="Arial" w:eastAsia="Times New Roman" w:hAnsi="Arial" w:cs="Arial"/>
                <w:bCs/>
              </w:rPr>
            </w:pPr>
          </w:p>
          <w:p w14:paraId="57D67E15" w14:textId="77777777" w:rsidR="00C87444" w:rsidRDefault="00C87444">
            <w:pPr>
              <w:rPr>
                <w:rFonts w:ascii="Arial" w:eastAsia="Times New Roman" w:hAnsi="Arial" w:cs="Arial"/>
                <w:bCs/>
              </w:rPr>
            </w:pPr>
            <w:r>
              <w:rPr>
                <w:rFonts w:ascii="Arial" w:eastAsia="Times New Roman" w:hAnsi="Arial" w:cs="Arial"/>
                <w:bCs/>
              </w:rPr>
              <w:t xml:space="preserve">From Wellfleet’s standard Certificate of Coverage Template: </w:t>
            </w:r>
            <w:r>
              <w:rPr>
                <w:rFonts w:ascii="Arial" w:eastAsia="Arial" w:hAnsi="Arial" w:cs="Arial"/>
              </w:rPr>
              <w:t>Step</w:t>
            </w:r>
            <w:r>
              <w:rPr>
                <w:rFonts w:ascii="Arial" w:eastAsia="Arial" w:hAnsi="Arial" w:cs="Arial"/>
                <w:spacing w:val="1"/>
              </w:rPr>
              <w:t xml:space="preserve"> </w:t>
            </w:r>
            <w:r>
              <w:rPr>
                <w:rFonts w:ascii="Arial" w:eastAsia="Arial" w:hAnsi="Arial" w:cs="Arial"/>
              </w:rPr>
              <w:t>therapy (ST)</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process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which</w:t>
            </w:r>
            <w:r>
              <w:rPr>
                <w:rFonts w:ascii="Arial" w:eastAsia="Arial" w:hAnsi="Arial" w:cs="Arial"/>
                <w:spacing w:val="1"/>
              </w:rPr>
              <w:t xml:space="preserve"> </w:t>
            </w:r>
            <w:r>
              <w:rPr>
                <w:rFonts w:ascii="Arial" w:eastAsia="Arial" w:hAnsi="Arial" w:cs="Arial"/>
              </w:rPr>
              <w:t>the Member</w:t>
            </w:r>
            <w:r>
              <w:rPr>
                <w:rFonts w:ascii="Arial" w:eastAsia="Arial" w:hAnsi="Arial" w:cs="Arial"/>
                <w:spacing w:val="1"/>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(1) or more types of</w:t>
            </w:r>
            <w:r>
              <w:rPr>
                <w:rFonts w:ascii="Arial" w:eastAsia="Arial" w:hAnsi="Arial" w:cs="Arial"/>
                <w:spacing w:val="-1"/>
              </w:rPr>
              <w:t xml:space="preserve"> </w:t>
            </w:r>
            <w:r>
              <w:rPr>
                <w:rFonts w:ascii="Arial" w:eastAsia="Arial" w:hAnsi="Arial" w:cs="Arial"/>
              </w:rPr>
              <w:t>Prescription</w:t>
            </w:r>
            <w:r>
              <w:rPr>
                <w:rFonts w:ascii="Arial" w:eastAsia="Arial" w:hAnsi="Arial" w:cs="Arial"/>
                <w:spacing w:val="1"/>
              </w:rPr>
              <w:t xml:space="preserve"> </w:t>
            </w:r>
            <w:r>
              <w:rPr>
                <w:rFonts w:ascii="Arial" w:eastAsia="Arial" w:hAnsi="Arial" w:cs="Arial"/>
              </w:rPr>
              <w:t>Drug</w:t>
            </w:r>
            <w:r>
              <w:rPr>
                <w:rFonts w:ascii="Arial" w:eastAsia="Arial" w:hAnsi="Arial" w:cs="Arial"/>
                <w:spacing w:val="1"/>
              </w:rPr>
              <w:t xml:space="preserve"> </w:t>
            </w:r>
            <w:r>
              <w:rPr>
                <w:rFonts w:ascii="Arial" w:eastAsia="Arial" w:hAnsi="Arial" w:cs="Arial"/>
              </w:rPr>
              <w:t>before</w:t>
            </w:r>
            <w:r>
              <w:rPr>
                <w:rFonts w:ascii="Arial" w:eastAsia="Arial" w:hAnsi="Arial" w:cs="Arial"/>
                <w:spacing w:val="1"/>
              </w:rPr>
              <w:t xml:space="preserve"> </w:t>
            </w:r>
            <w:r>
              <w:rPr>
                <w:rFonts w:ascii="Arial" w:eastAsia="Arial" w:hAnsi="Arial" w:cs="Arial"/>
              </w:rPr>
              <w:t>We</w:t>
            </w:r>
            <w:r>
              <w:rPr>
                <w:rFonts w:ascii="Arial" w:eastAsia="Arial" w:hAnsi="Arial" w:cs="Arial"/>
                <w:spacing w:val="1"/>
              </w:rPr>
              <w:t xml:space="preserve"> </w:t>
            </w:r>
            <w:r>
              <w:rPr>
                <w:rFonts w:ascii="Arial" w:eastAsia="Arial" w:hAnsi="Arial" w:cs="Arial"/>
              </w:rPr>
              <w:t>will C</w:t>
            </w:r>
            <w:r>
              <w:rPr>
                <w:rFonts w:ascii="Arial" w:eastAsia="Arial" w:hAnsi="Arial" w:cs="Arial"/>
                <w:spacing w:val="1"/>
              </w:rPr>
              <w:t>o</w:t>
            </w:r>
            <w:r>
              <w:rPr>
                <w:rFonts w:ascii="Arial" w:eastAsia="Arial" w:hAnsi="Arial" w:cs="Arial"/>
              </w:rPr>
              <w:t xml:space="preserve">ver another as Medically Necessary.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"step</w:t>
            </w:r>
            <w:r>
              <w:rPr>
                <w:rFonts w:ascii="Arial" w:eastAsia="Arial" w:hAnsi="Arial" w:cs="Arial"/>
                <w:spacing w:val="-4"/>
              </w:rPr>
              <w:t xml:space="preserve"> </w:t>
            </w:r>
            <w:r>
              <w:rPr>
                <w:rFonts w:ascii="Arial" w:eastAsia="Arial" w:hAnsi="Arial" w:cs="Arial"/>
              </w:rPr>
              <w:t>therapy</w:t>
            </w:r>
            <w:r>
              <w:rPr>
                <w:rFonts w:ascii="Arial" w:eastAsia="Arial" w:hAnsi="Arial" w:cs="Arial"/>
                <w:spacing w:val="1"/>
              </w:rPr>
              <w:t xml:space="preserve"> </w:t>
            </w:r>
            <w:r>
              <w:rPr>
                <w:rFonts w:ascii="Arial" w:eastAsia="Arial" w:hAnsi="Arial" w:cs="Arial"/>
              </w:rPr>
              <w:t>protocol"</w:t>
            </w:r>
            <w:r>
              <w:rPr>
                <w:rFonts w:ascii="Arial" w:eastAsia="Arial" w:hAnsi="Arial" w:cs="Arial"/>
                <w:spacing w:val="-8"/>
              </w:rPr>
              <w:t xml:space="preserve"> </w:t>
            </w:r>
            <w:r>
              <w:rPr>
                <w:rFonts w:ascii="Arial" w:eastAsia="Arial" w:hAnsi="Arial" w:cs="Arial"/>
              </w:rPr>
              <w:t>means</w:t>
            </w:r>
            <w:r>
              <w:rPr>
                <w:rFonts w:ascii="Arial" w:eastAsia="Arial" w:hAnsi="Arial" w:cs="Arial"/>
                <w:spacing w:val="-1"/>
              </w:rPr>
              <w:t xml:space="preserve"> </w:t>
            </w:r>
            <w:r>
              <w:rPr>
                <w:rFonts w:ascii="Arial" w:eastAsia="Arial" w:hAnsi="Arial" w:cs="Arial"/>
              </w:rPr>
              <w:t>Our policy, protocol or program that establishes</w:t>
            </w:r>
            <w:r>
              <w:rPr>
                <w:rFonts w:ascii="Arial" w:eastAsia="Arial" w:hAnsi="Arial" w:cs="Arial"/>
                <w:spacing w:val="2"/>
              </w:rPr>
              <w:t xml:space="preserve"> </w:t>
            </w:r>
            <w:r>
              <w:rPr>
                <w:rFonts w:ascii="Arial" w:eastAsia="Arial" w:hAnsi="Arial" w:cs="Arial"/>
              </w:rPr>
              <w:t>the sequence in whi</w:t>
            </w:r>
            <w:r>
              <w:rPr>
                <w:rFonts w:ascii="Arial" w:eastAsia="Arial" w:hAnsi="Arial" w:cs="Arial"/>
                <w:spacing w:val="1"/>
              </w:rPr>
              <w:t>c</w:t>
            </w:r>
            <w:r>
              <w:rPr>
                <w:rFonts w:ascii="Arial" w:eastAsia="Arial" w:hAnsi="Arial" w:cs="Arial"/>
              </w:rPr>
              <w:t>h We approve</w:t>
            </w:r>
            <w:r>
              <w:rPr>
                <w:rFonts w:ascii="Arial" w:eastAsia="Arial" w:hAnsi="Arial" w:cs="Arial"/>
                <w:spacing w:val="1"/>
              </w:rPr>
              <w:t xml:space="preserve"> </w:t>
            </w:r>
            <w:r>
              <w:rPr>
                <w:rFonts w:ascii="Arial" w:eastAsia="Arial" w:hAnsi="Arial" w:cs="Arial"/>
              </w:rPr>
              <w:t>Prescription</w:t>
            </w:r>
            <w:r>
              <w:rPr>
                <w:rFonts w:ascii="Arial" w:eastAsia="Arial" w:hAnsi="Arial" w:cs="Arial"/>
                <w:spacing w:val="1"/>
              </w:rPr>
              <w:t xml:space="preserve"> </w:t>
            </w:r>
            <w:r>
              <w:rPr>
                <w:rFonts w:ascii="Arial" w:eastAsia="Arial" w:hAnsi="Arial" w:cs="Arial"/>
              </w:rPr>
              <w:t>Drugs</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a Member’s medical c</w:t>
            </w:r>
            <w:r>
              <w:rPr>
                <w:rFonts w:ascii="Arial" w:eastAsia="Arial" w:hAnsi="Arial" w:cs="Arial"/>
                <w:spacing w:val="1"/>
              </w:rPr>
              <w:t>o</w:t>
            </w:r>
            <w:r>
              <w:rPr>
                <w:rFonts w:ascii="Arial" w:eastAsia="Arial" w:hAnsi="Arial" w:cs="Arial"/>
              </w:rPr>
              <w:t>ndition.</w:t>
            </w:r>
          </w:p>
          <w:p w14:paraId="5AAFE097" w14:textId="77777777" w:rsidR="00C87444" w:rsidRDefault="00C87444">
            <w:pPr>
              <w:rPr>
                <w:rFonts w:ascii="Arial" w:eastAsia="Times New Roman" w:hAnsi="Arial" w:cs="Arial"/>
              </w:rPr>
            </w:pPr>
          </w:p>
          <w:p w14:paraId="2847EF74" w14:textId="77777777" w:rsidR="00C87444" w:rsidRDefault="00C87444">
            <w:pPr>
              <w:rPr>
                <w:rFonts w:ascii="Arial" w:eastAsia="Times New Roman" w:hAnsi="Arial" w:cs="Arial"/>
              </w:rPr>
            </w:pPr>
            <w:r>
              <w:rPr>
                <w:rFonts w:ascii="Arial" w:eastAsia="Times New Roman" w:hAnsi="Arial" w:cs="Arial"/>
              </w:rPr>
              <w:t>Wellfleet delegates the act of Utilization Review to Express Scripts (ESI), however the application of the Step Therapy NQTL and the guidelines that drive the decisions by ESI are approved by Wellfleet’s internal Pharmacy and Therapeutics Committee (P&amp;T) and Value Assessment Committee (VAC).</w:t>
            </w:r>
          </w:p>
          <w:p w14:paraId="6AB9EC83" w14:textId="77777777" w:rsidR="00C87444" w:rsidRDefault="00C87444">
            <w:pPr>
              <w:rPr>
                <w:rFonts w:ascii="Arial" w:eastAsia="Times New Roman" w:hAnsi="Arial" w:cs="Arial"/>
              </w:rPr>
            </w:pPr>
          </w:p>
          <w:p w14:paraId="79B34058" w14:textId="77777777" w:rsidR="00C87444" w:rsidRDefault="00C87444">
            <w:pPr>
              <w:rPr>
                <w:rFonts w:ascii="Arial" w:eastAsia="Times New Roman" w:hAnsi="Arial" w:cs="Arial"/>
              </w:rPr>
            </w:pPr>
            <w:r>
              <w:rPr>
                <w:rFonts w:ascii="Arial" w:eastAsia="Times New Roman" w:hAnsi="Arial" w:cs="Arial"/>
              </w:rPr>
              <w:t>Step Therapy is defined, in the Wellfleet Pharmacy and Therapeutics Committee Policy, as “Step Therapy: A</w:t>
            </w:r>
            <w:r>
              <w:rPr>
                <w:rFonts w:ascii="Arial" w:eastAsia="Arial" w:hAnsi="Arial" w:cs="Arial"/>
                <w:spacing w:val="1"/>
              </w:rPr>
              <w:t xml:space="preserve"> </w:t>
            </w:r>
            <w:r>
              <w:rPr>
                <w:rFonts w:ascii="Arial" w:eastAsia="Arial" w:hAnsi="Arial" w:cs="Arial"/>
              </w:rPr>
              <w:t>process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which</w:t>
            </w:r>
            <w:r>
              <w:rPr>
                <w:rFonts w:ascii="Arial" w:eastAsia="Arial" w:hAnsi="Arial" w:cs="Arial"/>
                <w:spacing w:val="1"/>
              </w:rPr>
              <w:t xml:space="preserve"> </w:t>
            </w:r>
            <w:r>
              <w:rPr>
                <w:rFonts w:ascii="Arial" w:eastAsia="Arial" w:hAnsi="Arial" w:cs="Arial"/>
              </w:rPr>
              <w:t>the member</w:t>
            </w:r>
            <w:r>
              <w:rPr>
                <w:rFonts w:ascii="Arial" w:eastAsia="Arial" w:hAnsi="Arial" w:cs="Arial"/>
                <w:spacing w:val="1"/>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(1) or more types of</w:t>
            </w:r>
            <w:r>
              <w:rPr>
                <w:rFonts w:ascii="Arial" w:eastAsia="Arial" w:hAnsi="Arial" w:cs="Arial"/>
                <w:spacing w:val="-1"/>
              </w:rPr>
              <w:t xml:space="preserve"> </w:t>
            </w:r>
            <w:r>
              <w:rPr>
                <w:rFonts w:ascii="Arial" w:eastAsia="Arial" w:hAnsi="Arial" w:cs="Arial"/>
              </w:rPr>
              <w:t>Prescription</w:t>
            </w:r>
            <w:r>
              <w:rPr>
                <w:rFonts w:ascii="Arial" w:eastAsia="Arial" w:hAnsi="Arial" w:cs="Arial"/>
                <w:spacing w:val="1"/>
              </w:rPr>
              <w:t xml:space="preserve"> </w:t>
            </w:r>
            <w:r>
              <w:rPr>
                <w:rFonts w:ascii="Arial" w:eastAsia="Arial" w:hAnsi="Arial" w:cs="Arial"/>
              </w:rPr>
              <w:t>Drug</w:t>
            </w:r>
            <w:r>
              <w:rPr>
                <w:rFonts w:ascii="Arial" w:eastAsia="Arial" w:hAnsi="Arial" w:cs="Arial"/>
                <w:spacing w:val="1"/>
              </w:rPr>
              <w:t xml:space="preserve"> </w:t>
            </w:r>
            <w:r>
              <w:rPr>
                <w:rFonts w:ascii="Arial" w:eastAsia="Arial" w:hAnsi="Arial" w:cs="Arial"/>
              </w:rPr>
              <w:t>before coverage of a second Prescription Drug.”</w:t>
            </w:r>
          </w:p>
        </w:tc>
      </w:tr>
      <w:tr w:rsidR="00C87444" w14:paraId="0332F66B" w14:textId="77777777" w:rsidTr="00C87444">
        <w:trPr>
          <w:trHeight w:val="1385"/>
        </w:trPr>
        <w:tc>
          <w:tcPr>
            <w:tcW w:w="2500" w:type="pct"/>
            <w:tcBorders>
              <w:top w:val="single" w:sz="4" w:space="0" w:color="auto"/>
              <w:left w:val="single" w:sz="4" w:space="0" w:color="auto"/>
              <w:bottom w:val="single" w:sz="4" w:space="0" w:color="auto"/>
              <w:right w:val="single" w:sz="4" w:space="0" w:color="auto"/>
            </w:tcBorders>
          </w:tcPr>
          <w:p w14:paraId="7744814D" w14:textId="77777777" w:rsidR="00C87444" w:rsidRDefault="00C87444">
            <w:pPr>
              <w:rPr>
                <w:rFonts w:ascii="Arial" w:eastAsia="Times New Roman" w:hAnsi="Arial" w:cs="Arial"/>
                <w:b/>
                <w:i/>
              </w:rPr>
            </w:pPr>
            <w:r>
              <w:rPr>
                <w:rFonts w:ascii="Arial" w:eastAsia="Times New Roman" w:hAnsi="Arial" w:cs="Arial"/>
                <w:b/>
                <w:i/>
              </w:rPr>
              <w:t>Identify the M/S drugs for which Step Therapy is required:</w:t>
            </w:r>
            <w:r>
              <w:rPr>
                <w:rStyle w:val="FootnoteReference"/>
                <w:rFonts w:ascii="Arial" w:eastAsia="Times New Roman" w:hAnsi="Arial" w:cs="Arial"/>
                <w:b/>
                <w:i/>
              </w:rPr>
              <w:footnoteReference w:id="56"/>
            </w:r>
          </w:p>
          <w:p w14:paraId="1A2168D3" w14:textId="77777777" w:rsidR="00C87444" w:rsidRDefault="00C87444">
            <w:pPr>
              <w:rPr>
                <w:rFonts w:ascii="Arial" w:eastAsia="Times New Roman" w:hAnsi="Arial" w:cs="Arial"/>
                <w:b/>
                <w:i/>
              </w:rPr>
            </w:pPr>
          </w:p>
          <w:p w14:paraId="0EBF3841" w14:textId="77777777" w:rsidR="00C87444" w:rsidRDefault="00C87444">
            <w:pPr>
              <w:rPr>
                <w:rFonts w:ascii="Arial" w:eastAsia="Times New Roman" w:hAnsi="Arial" w:cs="Arial"/>
              </w:rPr>
            </w:pPr>
            <w:r>
              <w:rPr>
                <w:rFonts w:ascii="Arial" w:eastAsia="Times New Roman" w:hAnsi="Arial" w:cs="Arial"/>
              </w:rPr>
              <w:t xml:space="preserve"> Please see attached (Covered Services Attachment) which details benefits subject to </w:t>
            </w:r>
            <w:proofErr w:type="gramStart"/>
            <w:r>
              <w:rPr>
                <w:rFonts w:ascii="Arial" w:eastAsia="Times New Roman" w:hAnsi="Arial" w:cs="Arial"/>
              </w:rPr>
              <w:t>ST</w:t>
            </w:r>
            <w:proofErr w:type="gramEnd"/>
          </w:p>
          <w:p w14:paraId="58DDC1AC" w14:textId="77777777" w:rsidR="00C87444" w:rsidRDefault="00C87444">
            <w:pPr>
              <w:rPr>
                <w:rFonts w:ascii="Arial" w:eastAsia="Times New Roman" w:hAnsi="Arial" w:cs="Arial"/>
              </w:rPr>
            </w:pPr>
          </w:p>
          <w:p w14:paraId="4E5BB5D4" w14:textId="77777777" w:rsidR="00C87444" w:rsidRDefault="00C87444">
            <w:pPr>
              <w:rPr>
                <w:rFonts w:ascii="Arial" w:eastAsia="Times New Roman" w:hAnsi="Arial" w:cs="Arial"/>
              </w:rPr>
            </w:pPr>
          </w:p>
          <w:p w14:paraId="2F5B77C2" w14:textId="77777777" w:rsidR="00C87444" w:rsidRDefault="00C87444">
            <w:pPr>
              <w:rPr>
                <w:rFonts w:ascii="Arial" w:eastAsia="Times New Roman" w:hAnsi="Arial" w:cs="Arial"/>
              </w:rPr>
            </w:pPr>
          </w:p>
          <w:p w14:paraId="630E1CF9" w14:textId="77777777" w:rsidR="00C87444" w:rsidRDefault="00C87444">
            <w:pPr>
              <w:rPr>
                <w:rFonts w:ascii="Arial" w:eastAsia="Times New Roman" w:hAnsi="Arial" w:cs="Arial"/>
              </w:rPr>
            </w:pPr>
          </w:p>
          <w:p w14:paraId="2F7A71F2" w14:textId="77777777" w:rsidR="00C87444" w:rsidRDefault="00C87444">
            <w:pPr>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07722390" w14:textId="77777777" w:rsidR="00C87444" w:rsidRDefault="00C87444">
            <w:pPr>
              <w:rPr>
                <w:rFonts w:ascii="Arial" w:eastAsia="Times New Roman" w:hAnsi="Arial" w:cs="Arial"/>
              </w:rPr>
            </w:pPr>
            <w:r>
              <w:rPr>
                <w:rFonts w:ascii="Arial" w:eastAsia="Times New Roman" w:hAnsi="Arial" w:cs="Arial"/>
                <w:b/>
                <w:i/>
              </w:rPr>
              <w:t>Identify the MH/SUD drugs for which Step Therapy is required</w:t>
            </w:r>
            <w:r>
              <w:rPr>
                <w:rFonts w:ascii="Arial" w:eastAsia="Times New Roman" w:hAnsi="Arial" w:cs="Arial"/>
              </w:rPr>
              <w:t>:</w:t>
            </w:r>
            <w:r>
              <w:rPr>
                <w:rStyle w:val="FootnoteReference"/>
                <w:rFonts w:ascii="Arial" w:eastAsia="Times New Roman" w:hAnsi="Arial" w:cs="Arial"/>
              </w:rPr>
              <w:footnoteReference w:id="57"/>
            </w:r>
          </w:p>
          <w:p w14:paraId="40CB0C33" w14:textId="77777777" w:rsidR="00C87444" w:rsidRDefault="00C87444">
            <w:pPr>
              <w:rPr>
                <w:rFonts w:ascii="Arial" w:eastAsia="Times New Roman" w:hAnsi="Arial" w:cs="Arial"/>
              </w:rPr>
            </w:pPr>
          </w:p>
          <w:p w14:paraId="489FE5E8" w14:textId="77777777" w:rsidR="00C87444" w:rsidRDefault="00C87444">
            <w:pPr>
              <w:rPr>
                <w:rFonts w:ascii="Arial" w:eastAsia="Times New Roman" w:hAnsi="Arial" w:cs="Arial"/>
              </w:rPr>
            </w:pPr>
            <w:r>
              <w:rPr>
                <w:rFonts w:ascii="Arial" w:eastAsia="Times New Roman" w:hAnsi="Arial" w:cs="Arial"/>
              </w:rPr>
              <w:t xml:space="preserve">Please see attached (Covered Services Attachment) which details benefits subject to </w:t>
            </w:r>
            <w:proofErr w:type="gramStart"/>
            <w:r>
              <w:rPr>
                <w:rFonts w:ascii="Arial" w:eastAsia="Times New Roman" w:hAnsi="Arial" w:cs="Arial"/>
              </w:rPr>
              <w:t>ST</w:t>
            </w:r>
            <w:proofErr w:type="gramEnd"/>
          </w:p>
          <w:p w14:paraId="3943C5E8" w14:textId="77777777" w:rsidR="00C87444" w:rsidRDefault="00C87444">
            <w:pPr>
              <w:rPr>
                <w:rFonts w:ascii="Arial" w:eastAsia="Times New Roman" w:hAnsi="Arial" w:cs="Arial"/>
              </w:rPr>
            </w:pPr>
          </w:p>
          <w:p w14:paraId="780C19D6" w14:textId="77777777" w:rsidR="00C87444" w:rsidRDefault="00C87444">
            <w:pPr>
              <w:rPr>
                <w:rFonts w:ascii="Arial" w:eastAsia="Times New Roman" w:hAnsi="Arial" w:cs="Arial"/>
              </w:rPr>
            </w:pPr>
          </w:p>
          <w:p w14:paraId="03482EAB" w14:textId="77777777" w:rsidR="00C87444" w:rsidRDefault="00C87444">
            <w:pPr>
              <w:rPr>
                <w:rFonts w:ascii="Arial" w:eastAsia="Times New Roman" w:hAnsi="Arial" w:cs="Arial"/>
              </w:rPr>
            </w:pPr>
          </w:p>
        </w:tc>
      </w:tr>
      <w:tr w:rsidR="00C87444" w14:paraId="66BA3DFD" w14:textId="77777777" w:rsidTr="00C87444">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4255D" w14:textId="77777777" w:rsidR="00C87444" w:rsidRDefault="00C87444">
            <w:pPr>
              <w:rPr>
                <w:rFonts w:ascii="Arial" w:eastAsia="Times New Roman" w:hAnsi="Arial" w:cs="Arial"/>
                <w:b/>
                <w:bCs/>
              </w:rPr>
            </w:pPr>
            <w:r>
              <w:rPr>
                <w:rFonts w:ascii="Arial" w:eastAsia="Times New Roman" w:hAnsi="Arial" w:cs="Arial"/>
                <w:b/>
                <w:bCs/>
              </w:rPr>
              <w:t>Step 2 – Identify the factors used to determine that Step Therapy will apply to mental health or substance use disorder benefits and medical or surgical drugs</w:t>
            </w:r>
            <w:r>
              <w:rPr>
                <w:rStyle w:val="FootnoteReference"/>
                <w:rFonts w:ascii="Arial" w:eastAsia="Times New Roman" w:hAnsi="Arial" w:cs="Arial"/>
                <w:b/>
                <w:bCs/>
              </w:rPr>
              <w:footnoteReference w:id="58"/>
            </w:r>
          </w:p>
        </w:tc>
      </w:tr>
      <w:tr w:rsidR="00C87444" w14:paraId="45B7A4A5" w14:textId="77777777" w:rsidTr="00C87444">
        <w:trPr>
          <w:trHeight w:val="1430"/>
        </w:trPr>
        <w:tc>
          <w:tcPr>
            <w:tcW w:w="2500" w:type="pct"/>
            <w:tcBorders>
              <w:top w:val="single" w:sz="4" w:space="0" w:color="auto"/>
              <w:left w:val="single" w:sz="4" w:space="0" w:color="auto"/>
              <w:bottom w:val="single" w:sz="4" w:space="0" w:color="auto"/>
              <w:right w:val="single" w:sz="4" w:space="0" w:color="auto"/>
            </w:tcBorders>
          </w:tcPr>
          <w:p w14:paraId="11E909F9" w14:textId="77777777" w:rsidR="00C87444" w:rsidRDefault="00C87444">
            <w:pPr>
              <w:rPr>
                <w:rFonts w:ascii="Arial" w:eastAsia="Times New Roman" w:hAnsi="Arial" w:cs="Arial"/>
              </w:rPr>
            </w:pPr>
            <w:r>
              <w:rPr>
                <w:rFonts w:ascii="Arial" w:eastAsia="Times New Roman" w:hAnsi="Arial" w:cs="Arial"/>
                <w:b/>
              </w:rPr>
              <w:t>Medical/Surgical</w:t>
            </w:r>
            <w:r>
              <w:rPr>
                <w:rFonts w:ascii="Arial" w:eastAsia="Times New Roman" w:hAnsi="Arial" w:cs="Arial"/>
              </w:rPr>
              <w:t>:</w:t>
            </w:r>
          </w:p>
          <w:p w14:paraId="343060FC" w14:textId="77777777" w:rsidR="00C87444" w:rsidRDefault="00C87444">
            <w:pPr>
              <w:rPr>
                <w:rFonts w:ascii="Arial" w:eastAsia="Times New Roman" w:hAnsi="Arial" w:cs="Arial"/>
              </w:rPr>
            </w:pPr>
          </w:p>
          <w:p w14:paraId="3F0580FC" w14:textId="77777777" w:rsidR="00C87444" w:rsidRDefault="00C87444">
            <w:pPr>
              <w:rPr>
                <w:rFonts w:ascii="Arial" w:eastAsia="Times New Roman" w:hAnsi="Arial" w:cs="Arial"/>
              </w:rPr>
            </w:pPr>
            <w:r>
              <w:rPr>
                <w:rFonts w:ascii="Arial" w:eastAsia="Times New Roman" w:hAnsi="Arial" w:cs="Arial"/>
              </w:rPr>
              <w:t>Factors for determining whether a prescription drug product will have Step therapy or not:</w:t>
            </w:r>
          </w:p>
          <w:p w14:paraId="51320A6E" w14:textId="77777777" w:rsidR="00C87444" w:rsidRDefault="00C87444" w:rsidP="00C87444">
            <w:pPr>
              <w:pStyle w:val="ListParagraph"/>
              <w:numPr>
                <w:ilvl w:val="0"/>
                <w:numId w:val="49"/>
              </w:numPr>
              <w:spacing w:after="0" w:line="240" w:lineRule="auto"/>
              <w:rPr>
                <w:rFonts w:ascii="Arial" w:eastAsia="Times New Roman" w:hAnsi="Arial" w:cs="Arial"/>
              </w:rPr>
            </w:pPr>
            <w:r>
              <w:rPr>
                <w:rFonts w:ascii="Arial" w:eastAsia="Times New Roman" w:hAnsi="Arial" w:cs="Arial"/>
              </w:rPr>
              <w:t xml:space="preserve">High variability in cost within drugs in a given therapeutic </w:t>
            </w:r>
            <w:proofErr w:type="gramStart"/>
            <w:r>
              <w:rPr>
                <w:rFonts w:ascii="Arial" w:eastAsia="Times New Roman" w:hAnsi="Arial" w:cs="Arial"/>
              </w:rPr>
              <w:t>class</w:t>
            </w:r>
            <w:proofErr w:type="gramEnd"/>
          </w:p>
          <w:p w14:paraId="07C6F15C" w14:textId="77777777" w:rsidR="00C87444" w:rsidRDefault="00C87444" w:rsidP="00C87444">
            <w:pPr>
              <w:pStyle w:val="ListParagraph"/>
              <w:numPr>
                <w:ilvl w:val="0"/>
                <w:numId w:val="49"/>
              </w:numPr>
              <w:spacing w:after="0" w:line="240" w:lineRule="auto"/>
              <w:rPr>
                <w:rFonts w:ascii="Arial" w:eastAsia="Times New Roman" w:hAnsi="Arial" w:cs="Arial"/>
              </w:rPr>
            </w:pPr>
            <w:r>
              <w:rPr>
                <w:rFonts w:ascii="Arial" w:eastAsia="Times New Roman" w:hAnsi="Arial" w:cs="Arial"/>
              </w:rPr>
              <w:t>Availability of Cost-Effective alternatives</w:t>
            </w:r>
          </w:p>
          <w:p w14:paraId="76261043" w14:textId="77777777" w:rsidR="00C87444" w:rsidRDefault="00C87444" w:rsidP="00C87444">
            <w:pPr>
              <w:pStyle w:val="ListParagraph"/>
              <w:numPr>
                <w:ilvl w:val="0"/>
                <w:numId w:val="49"/>
              </w:numPr>
              <w:spacing w:after="0" w:line="240" w:lineRule="auto"/>
              <w:rPr>
                <w:rFonts w:ascii="Arial" w:eastAsia="Times New Roman" w:hAnsi="Arial" w:cs="Arial"/>
              </w:rPr>
            </w:pPr>
            <w:r>
              <w:rPr>
                <w:rFonts w:ascii="Arial" w:eastAsia="Times New Roman" w:hAnsi="Arial" w:cs="Arial"/>
              </w:rPr>
              <w:t xml:space="preserve">Member Impact (this factor is used only to determine when ST should not be applied) </w:t>
            </w:r>
          </w:p>
          <w:p w14:paraId="2D4AE33C" w14:textId="77777777" w:rsidR="00C87444" w:rsidRDefault="00C87444">
            <w:pPr>
              <w:rPr>
                <w:rFonts w:ascii="Arial" w:eastAsia="Times New Roman" w:hAnsi="Arial" w:cs="Arial"/>
              </w:rPr>
            </w:pPr>
          </w:p>
          <w:p w14:paraId="2CFC493E" w14:textId="77777777" w:rsidR="00C87444" w:rsidRDefault="00C87444">
            <w:pPr>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65929E32" w14:textId="77777777" w:rsidR="00C87444" w:rsidRDefault="00C87444">
            <w:pPr>
              <w:rPr>
                <w:rFonts w:ascii="Arial" w:eastAsia="Times New Roman" w:hAnsi="Arial" w:cs="Arial"/>
              </w:rPr>
            </w:pPr>
            <w:r>
              <w:rPr>
                <w:rFonts w:ascii="Arial" w:eastAsia="Times New Roman" w:hAnsi="Arial" w:cs="Arial"/>
                <w:b/>
              </w:rPr>
              <w:t>MH/SUD</w:t>
            </w:r>
            <w:r>
              <w:rPr>
                <w:rFonts w:ascii="Arial" w:eastAsia="Times New Roman" w:hAnsi="Arial" w:cs="Arial"/>
              </w:rPr>
              <w:t>:</w:t>
            </w:r>
          </w:p>
          <w:p w14:paraId="44CBD9BA" w14:textId="77777777" w:rsidR="00C87444" w:rsidRDefault="00C87444">
            <w:pPr>
              <w:rPr>
                <w:rFonts w:ascii="Arial" w:eastAsia="Times New Roman" w:hAnsi="Arial" w:cs="Arial"/>
              </w:rPr>
            </w:pPr>
          </w:p>
          <w:p w14:paraId="5B6C8E2F" w14:textId="77777777" w:rsidR="00C87444" w:rsidRDefault="00C87444">
            <w:pPr>
              <w:rPr>
                <w:rFonts w:ascii="Arial" w:eastAsia="Times New Roman" w:hAnsi="Arial" w:cs="Arial"/>
              </w:rPr>
            </w:pPr>
            <w:r>
              <w:rPr>
                <w:rFonts w:ascii="Arial" w:eastAsia="Times New Roman" w:hAnsi="Arial" w:cs="Arial"/>
              </w:rPr>
              <w:t>Factors for determining whether a prescription drug product will have Prior Authorization or not:</w:t>
            </w:r>
          </w:p>
          <w:p w14:paraId="6E978434" w14:textId="77777777" w:rsidR="00C87444" w:rsidRDefault="00C87444" w:rsidP="00C87444">
            <w:pPr>
              <w:pStyle w:val="ListParagraph"/>
              <w:numPr>
                <w:ilvl w:val="0"/>
                <w:numId w:val="58"/>
              </w:numPr>
              <w:spacing w:after="0" w:line="240" w:lineRule="auto"/>
              <w:rPr>
                <w:rFonts w:ascii="Arial" w:eastAsia="Times New Roman" w:hAnsi="Arial" w:cs="Arial"/>
              </w:rPr>
            </w:pPr>
            <w:r>
              <w:rPr>
                <w:rFonts w:ascii="Arial" w:eastAsia="Times New Roman" w:hAnsi="Arial" w:cs="Arial"/>
              </w:rPr>
              <w:t>Same as M/S</w:t>
            </w:r>
          </w:p>
        </w:tc>
      </w:tr>
      <w:tr w:rsidR="00C87444" w14:paraId="37040B0E" w14:textId="77777777" w:rsidTr="00C87444">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41B32" w14:textId="77777777" w:rsidR="00C87444" w:rsidRDefault="00C87444">
            <w:pPr>
              <w:rPr>
                <w:rFonts w:ascii="Arial" w:eastAsia="Times New Roman" w:hAnsi="Arial" w:cs="Arial"/>
                <w:b/>
                <w:bCs/>
              </w:rPr>
            </w:pPr>
            <w:r>
              <w:rPr>
                <w:rFonts w:ascii="Arial" w:eastAsia="Times New Roman" w:hAnsi="Arial" w:cs="Arial"/>
                <w:b/>
                <w:bCs/>
              </w:rPr>
              <w:t>Step 3 – Identify the evidentiary standards used for the factors identified in Step 2, when applicable, provided that every factor shall be defined, and any other source or evidence relied upon to design and apply Step Therapy to mental health or substance use disorder benefits and medical or surgical benefits.</w:t>
            </w:r>
          </w:p>
        </w:tc>
      </w:tr>
      <w:tr w:rsidR="00C87444" w14:paraId="07E09ED3" w14:textId="77777777" w:rsidTr="00C87444">
        <w:trPr>
          <w:trHeight w:val="1720"/>
        </w:trPr>
        <w:tc>
          <w:tcPr>
            <w:tcW w:w="2500" w:type="pct"/>
            <w:tcBorders>
              <w:top w:val="single" w:sz="4" w:space="0" w:color="auto"/>
              <w:left w:val="single" w:sz="4" w:space="0" w:color="auto"/>
              <w:bottom w:val="single" w:sz="4" w:space="0" w:color="auto"/>
              <w:right w:val="single" w:sz="4" w:space="0" w:color="auto"/>
            </w:tcBorders>
          </w:tcPr>
          <w:p w14:paraId="3128F346" w14:textId="77777777" w:rsidR="00C87444" w:rsidRDefault="00C87444">
            <w:pPr>
              <w:rPr>
                <w:rFonts w:ascii="Arial" w:eastAsia="Times New Roman" w:hAnsi="Arial" w:cs="Arial"/>
              </w:rPr>
            </w:pPr>
            <w:r>
              <w:rPr>
                <w:rFonts w:ascii="Arial" w:eastAsia="Times New Roman" w:hAnsi="Arial" w:cs="Arial"/>
                <w:b/>
              </w:rPr>
              <w:t>Medical/Surgical</w:t>
            </w:r>
            <w:r>
              <w:rPr>
                <w:rFonts w:ascii="Arial" w:eastAsia="Times New Roman" w:hAnsi="Arial" w:cs="Arial"/>
              </w:rPr>
              <w:t>:</w:t>
            </w:r>
          </w:p>
          <w:p w14:paraId="0B09A072" w14:textId="77777777" w:rsidR="00C87444" w:rsidRDefault="00C87444">
            <w:pPr>
              <w:rPr>
                <w:rFonts w:ascii="Arial" w:eastAsia="Times New Roman" w:hAnsi="Arial" w:cs="Arial"/>
              </w:rPr>
            </w:pPr>
          </w:p>
          <w:p w14:paraId="0B5CEAFE" w14:textId="77777777" w:rsidR="00C87444" w:rsidRDefault="00C87444">
            <w:pPr>
              <w:rPr>
                <w:rFonts w:ascii="Arial" w:eastAsia="Times New Roman" w:hAnsi="Arial" w:cs="Arial"/>
              </w:rPr>
            </w:pPr>
            <w:r>
              <w:rPr>
                <w:rFonts w:ascii="Arial" w:eastAsia="Times New Roman" w:hAnsi="Arial" w:cs="Arial"/>
              </w:rPr>
              <w:t xml:space="preserve">Factor 1: High variability in cost within drugs in a given therapeutic </w:t>
            </w:r>
            <w:proofErr w:type="gramStart"/>
            <w:r>
              <w:rPr>
                <w:rFonts w:ascii="Arial" w:eastAsia="Times New Roman" w:hAnsi="Arial" w:cs="Arial"/>
              </w:rPr>
              <w:t>class</w:t>
            </w:r>
            <w:proofErr w:type="gramEnd"/>
          </w:p>
          <w:p w14:paraId="06AFC0E2" w14:textId="77777777" w:rsidR="00C87444" w:rsidRDefault="00C87444" w:rsidP="00C87444">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Source:</w:t>
            </w:r>
            <w:r>
              <w:rPr>
                <w:rFonts w:ascii="Arial" w:eastAsia="Times New Roman" w:hAnsi="Arial" w:cs="Arial"/>
              </w:rPr>
              <w:t xml:space="preserve"> First Databank (FDB), internal market and competitive analysis, therapeutic class total net cost analysis.</w:t>
            </w:r>
          </w:p>
          <w:p w14:paraId="1F8750D5" w14:textId="77777777" w:rsidR="00C87444" w:rsidRDefault="00C87444">
            <w:pPr>
              <w:pStyle w:val="ListParagraph"/>
              <w:ind w:left="1440"/>
              <w:rPr>
                <w:rFonts w:ascii="Arial" w:eastAsia="Times New Roman" w:hAnsi="Arial" w:cs="Arial"/>
              </w:rPr>
            </w:pPr>
            <w:r>
              <w:rPr>
                <w:rFonts w:ascii="Arial" w:eastAsia="Times New Roman" w:hAnsi="Arial" w:cs="Arial"/>
                <w:b/>
                <w:bCs/>
              </w:rPr>
              <w:t>Evidentiary Standard:</w:t>
            </w:r>
            <w:r>
              <w:rPr>
                <w:rFonts w:ascii="Arial" w:eastAsia="Times New Roman" w:hAnsi="Arial" w:cs="Arial"/>
              </w:rPr>
              <w:t xml:space="preserve"> High cost is defined as $670/month supply</w:t>
            </w:r>
            <w:proofErr w:type="gramStart"/>
            <w:r>
              <w:rPr>
                <w:rFonts w:ascii="Arial" w:eastAsia="Times New Roman" w:hAnsi="Arial" w:cs="Arial"/>
                <w:bCs/>
              </w:rPr>
              <w:t xml:space="preserve"> Also</w:t>
            </w:r>
            <w:proofErr w:type="gramEnd"/>
            <w:r>
              <w:rPr>
                <w:rFonts w:ascii="Arial" w:eastAsia="Times New Roman" w:hAnsi="Arial" w:cs="Arial"/>
                <w:bCs/>
              </w:rPr>
              <w:t xml:space="preserve"> </w:t>
            </w:r>
            <w:proofErr w:type="gramStart"/>
            <w:r>
              <w:rPr>
                <w:rFonts w:ascii="Arial" w:eastAsia="Times New Roman" w:hAnsi="Arial" w:cs="Arial"/>
                <w:bCs/>
              </w:rPr>
              <w:t>taken into account</w:t>
            </w:r>
            <w:proofErr w:type="gramEnd"/>
            <w:r>
              <w:rPr>
                <w:rFonts w:ascii="Arial" w:eastAsia="Times New Roman" w:hAnsi="Arial" w:cs="Arial"/>
                <w:bCs/>
              </w:rPr>
              <w:t xml:space="preserve"> are the availability of alternate therapies (brand/generic) &amp; lowest total net cost for course of therapy for given conditions.</w:t>
            </w:r>
          </w:p>
          <w:p w14:paraId="2534ADBC" w14:textId="77777777" w:rsidR="00C87444" w:rsidRDefault="00C87444">
            <w:pPr>
              <w:rPr>
                <w:rFonts w:ascii="Arial" w:eastAsia="Times New Roman" w:hAnsi="Arial" w:cs="Arial"/>
              </w:rPr>
            </w:pPr>
            <w:r>
              <w:rPr>
                <w:rFonts w:ascii="Arial" w:eastAsia="Times New Roman" w:hAnsi="Arial" w:cs="Arial"/>
              </w:rPr>
              <w:t>Factor 2: Availability of Cost-Effective alternatives</w:t>
            </w:r>
          </w:p>
          <w:p w14:paraId="70F9BB2B" w14:textId="77777777" w:rsidR="00C87444" w:rsidRDefault="00C87444" w:rsidP="00C87444">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Source:</w:t>
            </w:r>
            <w:r>
              <w:rPr>
                <w:rFonts w:ascii="Arial" w:eastAsia="Times New Roman" w:hAnsi="Arial" w:cs="Arial"/>
              </w:rPr>
              <w:t xml:space="preserve"> First Databank (FDB), FDA Prescribing Information, professionally recognized treatment guidelines, peer-reviewed medical literature</w:t>
            </w:r>
          </w:p>
          <w:p w14:paraId="378E5177" w14:textId="77777777" w:rsidR="00C87444" w:rsidRDefault="00C87444" w:rsidP="00C87444">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Evidentiary Standard:</w:t>
            </w:r>
            <w:r>
              <w:rPr>
                <w:rFonts w:ascii="Arial" w:eastAsia="Times New Roman" w:hAnsi="Arial" w:cs="Arial"/>
              </w:rPr>
              <w:t xml:space="preserve">  Availability of alternate therapies (brand/generic). This is determined </w:t>
            </w:r>
            <w:proofErr w:type="gramStart"/>
            <w:r>
              <w:rPr>
                <w:rFonts w:ascii="Arial" w:eastAsia="Times New Roman" w:hAnsi="Arial" w:cs="Arial"/>
              </w:rPr>
              <w:t>thorough</w:t>
            </w:r>
            <w:proofErr w:type="gramEnd"/>
            <w:r>
              <w:rPr>
                <w:rFonts w:ascii="Arial" w:eastAsia="Times New Roman" w:hAnsi="Arial" w:cs="Arial"/>
              </w:rPr>
              <w:t xml:space="preserve"> discussions at P&amp;T Committee meetings, that are based on therapeutic class reviews and new drug reviews. These are created using the sources above by Wellfleet’s Clinical Pharmacist. </w:t>
            </w:r>
            <w:r>
              <w:rPr>
                <w:rFonts w:ascii="Arial" w:eastAsia="Times New Roman" w:hAnsi="Arial" w:cs="Arial"/>
                <w:bCs/>
              </w:rPr>
              <w:t xml:space="preserve">These reviews contain information on indications, dosing &amp; administration, clinical and comparative efficacy, clinical guidelines, contraindications &amp; special populations, etc. The P&amp;T Committee reviews clinical guidelines and nationally accepted standards of care to assess whether recommended alternative therapies exist. These discussions, along with the other factors listed in this section, guide the recommendations that are brought to the Value Assessment Committee for final determination on ST. </w:t>
            </w:r>
          </w:p>
          <w:p w14:paraId="69D80AFC" w14:textId="77777777" w:rsidR="00C87444" w:rsidRDefault="00C87444">
            <w:pPr>
              <w:rPr>
                <w:rFonts w:ascii="Arial" w:eastAsia="Times New Roman" w:hAnsi="Arial" w:cs="Arial"/>
              </w:rPr>
            </w:pPr>
            <w:r>
              <w:rPr>
                <w:rFonts w:ascii="Arial" w:eastAsia="Times New Roman" w:hAnsi="Arial" w:cs="Arial"/>
              </w:rPr>
              <w:t>Factor 3: Member Impact (this factor is used only to determine when ST should not be applied)</w:t>
            </w:r>
          </w:p>
          <w:p w14:paraId="202A4DB3" w14:textId="77777777" w:rsidR="00C87444" w:rsidRDefault="00C87444" w:rsidP="00C87444">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Source:</w:t>
            </w:r>
            <w:r>
              <w:rPr>
                <w:rFonts w:ascii="Arial" w:eastAsia="Times New Roman" w:hAnsi="Arial" w:cs="Arial"/>
              </w:rPr>
              <w:t xml:space="preserve"> Internal claims data, internal </w:t>
            </w:r>
            <w:proofErr w:type="gramStart"/>
            <w:r>
              <w:rPr>
                <w:rFonts w:ascii="Arial" w:eastAsia="Times New Roman" w:hAnsi="Arial" w:cs="Arial"/>
              </w:rPr>
              <w:t>market</w:t>
            </w:r>
            <w:proofErr w:type="gramEnd"/>
            <w:r>
              <w:rPr>
                <w:rFonts w:ascii="Arial" w:eastAsia="Times New Roman" w:hAnsi="Arial" w:cs="Arial"/>
              </w:rPr>
              <w:t xml:space="preserve"> and competitive analysis</w:t>
            </w:r>
          </w:p>
          <w:p w14:paraId="11F391F0" w14:textId="77777777" w:rsidR="00C87444" w:rsidRDefault="00C87444" w:rsidP="00C87444">
            <w:pPr>
              <w:pStyle w:val="ListParagraph"/>
              <w:numPr>
                <w:ilvl w:val="1"/>
                <w:numId w:val="50"/>
              </w:numPr>
              <w:spacing w:after="0" w:line="240" w:lineRule="auto"/>
              <w:rPr>
                <w:rFonts w:ascii="Arial" w:eastAsia="Times New Roman" w:hAnsi="Arial" w:cs="Arial"/>
              </w:rPr>
            </w:pPr>
            <w:r>
              <w:rPr>
                <w:rFonts w:ascii="Arial" w:eastAsia="Times New Roman" w:hAnsi="Arial" w:cs="Arial"/>
                <w:b/>
                <w:bCs/>
              </w:rPr>
              <w:t>Evidentiary Standard:</w:t>
            </w:r>
            <w:r>
              <w:rPr>
                <w:rFonts w:ascii="Arial" w:eastAsia="Times New Roman" w:hAnsi="Arial" w:cs="Arial"/>
              </w:rPr>
              <w:t xml:space="preserve"> The number of members that will be negatively impacted by step therapy additions. This is only </w:t>
            </w:r>
            <w:proofErr w:type="gramStart"/>
            <w:r>
              <w:rPr>
                <w:rFonts w:ascii="Arial" w:eastAsia="Times New Roman" w:hAnsi="Arial" w:cs="Arial"/>
              </w:rPr>
              <w:t>taken into account</w:t>
            </w:r>
            <w:proofErr w:type="gramEnd"/>
            <w:r>
              <w:rPr>
                <w:rFonts w:ascii="Arial" w:eastAsia="Times New Roman" w:hAnsi="Arial" w:cs="Arial"/>
              </w:rPr>
              <w:t xml:space="preserve"> to decide </w:t>
            </w:r>
            <w:r>
              <w:rPr>
                <w:rFonts w:ascii="Arial" w:eastAsia="Times New Roman" w:hAnsi="Arial" w:cs="Arial"/>
                <w:i/>
                <w:iCs/>
              </w:rPr>
              <w:t>not</w:t>
            </w:r>
            <w:r>
              <w:rPr>
                <w:rFonts w:ascii="Arial" w:eastAsia="Times New Roman" w:hAnsi="Arial" w:cs="Arial"/>
              </w:rPr>
              <w:t xml:space="preserve"> to apply or to remove a step therapy requirement from a medication and is not used in the application process for step therapy. If both factors 1 &amp; 2 suggest the addition of step therapy, but we anticipate significant member or client impact based on our covered demographic, we would put the interest of our members first and not assign a step therapy designation. </w:t>
            </w:r>
          </w:p>
          <w:p w14:paraId="483269B9" w14:textId="77777777" w:rsidR="00C87444" w:rsidRDefault="00C87444">
            <w:pPr>
              <w:rPr>
                <w:rFonts w:ascii="Arial" w:eastAsia="Times New Roman" w:hAnsi="Arial" w:cs="Arial"/>
              </w:rPr>
            </w:pPr>
          </w:p>
          <w:p w14:paraId="510EA743" w14:textId="77777777" w:rsidR="00C87444" w:rsidRDefault="00C87444">
            <w:pPr>
              <w:rPr>
                <w:rFonts w:ascii="Arial" w:eastAsia="Times New Roman" w:hAnsi="Arial" w:cs="Arial"/>
              </w:rPr>
            </w:pPr>
            <w:r>
              <w:rPr>
                <w:rFonts w:ascii="Arial" w:eastAsia="Times New Roman" w:hAnsi="Arial" w:cs="Arial"/>
              </w:rPr>
              <w:t xml:space="preserve">The Value Assessment Committee considers factors 1 &amp; 2 equally </w:t>
            </w:r>
            <w:proofErr w:type="gramStart"/>
            <w:r>
              <w:rPr>
                <w:rFonts w:ascii="Arial" w:eastAsia="Times New Roman" w:hAnsi="Arial" w:cs="Arial"/>
              </w:rPr>
              <w:t>in order to</w:t>
            </w:r>
            <w:proofErr w:type="gramEnd"/>
            <w:r>
              <w:rPr>
                <w:rFonts w:ascii="Arial" w:eastAsia="Times New Roman" w:hAnsi="Arial" w:cs="Arial"/>
              </w:rPr>
              <w:t xml:space="preserve"> make a determination as to whether Step Therapy should be applied. If both factors 1 &amp; 2 are met, the VAC considers Factor 3 (member impact) to assess whether Step therapy should be applied </w:t>
            </w:r>
            <w:proofErr w:type="gramStart"/>
            <w:r>
              <w:rPr>
                <w:rFonts w:ascii="Arial" w:eastAsia="Times New Roman" w:hAnsi="Arial" w:cs="Arial"/>
              </w:rPr>
              <w:t>in light of</w:t>
            </w:r>
            <w:proofErr w:type="gramEnd"/>
            <w:r>
              <w:rPr>
                <w:rFonts w:ascii="Arial" w:eastAsia="Times New Roman" w:hAnsi="Arial" w:cs="Arial"/>
              </w:rPr>
              <w:t xml:space="preserve"> anticipated member impact. </w:t>
            </w:r>
          </w:p>
          <w:p w14:paraId="3A339300" w14:textId="77777777" w:rsidR="00C87444" w:rsidRDefault="00C87444">
            <w:pPr>
              <w:rPr>
                <w:rFonts w:ascii="Arial" w:eastAsia="Times New Roman"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679B42C9" w14:textId="77777777" w:rsidR="00C87444" w:rsidRDefault="00C87444">
            <w:pPr>
              <w:rPr>
                <w:rFonts w:ascii="Arial" w:eastAsia="Times New Roman" w:hAnsi="Arial" w:cs="Arial"/>
              </w:rPr>
            </w:pPr>
            <w:r>
              <w:rPr>
                <w:rFonts w:ascii="Arial" w:eastAsia="Times New Roman" w:hAnsi="Arial" w:cs="Arial"/>
                <w:b/>
              </w:rPr>
              <w:t>MH/SUD</w:t>
            </w:r>
            <w:r>
              <w:rPr>
                <w:rFonts w:ascii="Arial" w:eastAsia="Times New Roman" w:hAnsi="Arial" w:cs="Arial"/>
              </w:rPr>
              <w:t>:</w:t>
            </w:r>
          </w:p>
          <w:p w14:paraId="4A5E066A" w14:textId="77777777" w:rsidR="00C87444" w:rsidRDefault="00C87444">
            <w:pPr>
              <w:rPr>
                <w:rFonts w:ascii="Arial" w:eastAsia="Times New Roman" w:hAnsi="Arial" w:cs="Arial"/>
              </w:rPr>
            </w:pPr>
          </w:p>
          <w:p w14:paraId="1428F1D8" w14:textId="77777777" w:rsidR="00C87444" w:rsidRDefault="00C87444">
            <w:pPr>
              <w:rPr>
                <w:rFonts w:ascii="Arial" w:eastAsia="Times New Roman" w:hAnsi="Arial" w:cs="Arial"/>
              </w:rPr>
            </w:pPr>
            <w:r>
              <w:rPr>
                <w:rFonts w:ascii="Arial" w:eastAsia="Times New Roman" w:hAnsi="Arial" w:cs="Arial"/>
              </w:rPr>
              <w:t>Same as M/S</w:t>
            </w:r>
          </w:p>
          <w:p w14:paraId="01D29D13" w14:textId="77777777" w:rsidR="00C87444" w:rsidRDefault="00C87444">
            <w:pPr>
              <w:rPr>
                <w:rFonts w:ascii="Arial" w:eastAsia="Times New Roman" w:hAnsi="Arial" w:cs="Arial"/>
              </w:rPr>
            </w:pPr>
          </w:p>
        </w:tc>
      </w:tr>
      <w:tr w:rsidR="00C87444" w14:paraId="7279A840" w14:textId="77777777" w:rsidTr="00C87444">
        <w:trPr>
          <w:trHeight w:val="87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9AB9E" w14:textId="77777777" w:rsidR="00C87444" w:rsidRDefault="00C87444">
            <w:pPr>
              <w:rPr>
                <w:rFonts w:ascii="Arial" w:eastAsia="Times New Roman" w:hAnsi="Arial" w:cs="Arial"/>
                <w:bCs/>
              </w:rPr>
            </w:pPr>
            <w:r>
              <w:rPr>
                <w:rFonts w:ascii="Arial" w:eastAsia="Times New Roman" w:hAnsi="Arial" w:cs="Arial"/>
                <w:b/>
                <w:bCs/>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tc>
      </w:tr>
      <w:tr w:rsidR="00C87444" w14:paraId="15F4B030" w14:textId="77777777" w:rsidTr="00C87444">
        <w:trPr>
          <w:trHeight w:val="1720"/>
        </w:trPr>
        <w:tc>
          <w:tcPr>
            <w:tcW w:w="2500" w:type="pct"/>
            <w:tcBorders>
              <w:top w:val="single" w:sz="4" w:space="0" w:color="auto"/>
              <w:left w:val="single" w:sz="4" w:space="0" w:color="auto"/>
              <w:bottom w:val="single" w:sz="4" w:space="0" w:color="auto"/>
              <w:right w:val="single" w:sz="4" w:space="0" w:color="auto"/>
            </w:tcBorders>
          </w:tcPr>
          <w:p w14:paraId="40388454" w14:textId="77777777" w:rsidR="00C87444" w:rsidRDefault="00C87444">
            <w:pPr>
              <w:rPr>
                <w:rFonts w:ascii="Arial" w:eastAsia="Times New Roman" w:hAnsi="Arial" w:cs="Arial"/>
              </w:rPr>
            </w:pPr>
            <w:r>
              <w:rPr>
                <w:rFonts w:ascii="Arial" w:eastAsia="Times New Roman" w:hAnsi="Arial" w:cs="Arial"/>
                <w:b/>
                <w:i/>
              </w:rPr>
              <w:t>Briefly describe the processes by which Step Therapy is applied to M/S benefits</w:t>
            </w:r>
            <w:r>
              <w:rPr>
                <w:rFonts w:ascii="Arial" w:eastAsia="Times New Roman" w:hAnsi="Arial" w:cs="Arial"/>
              </w:rPr>
              <w:t>:</w:t>
            </w:r>
          </w:p>
          <w:p w14:paraId="533965B4" w14:textId="77777777" w:rsidR="00C87444" w:rsidRDefault="00C87444">
            <w:pPr>
              <w:rPr>
                <w:rFonts w:ascii="Arial" w:eastAsia="Times New Roman" w:hAnsi="Arial" w:cs="Arial"/>
              </w:rPr>
            </w:pPr>
          </w:p>
          <w:p w14:paraId="5BFF8667" w14:textId="77777777" w:rsidR="00C87444" w:rsidRDefault="00C87444">
            <w:pPr>
              <w:rPr>
                <w:rFonts w:ascii="Arial" w:eastAsia="Times New Roman" w:hAnsi="Arial" w:cs="Arial"/>
              </w:rPr>
            </w:pPr>
            <w:r>
              <w:rPr>
                <w:rFonts w:ascii="Arial" w:eastAsia="Times New Roman" w:hAnsi="Arial" w:cs="Arial"/>
                <w:i/>
              </w:rPr>
              <w:t>Timelines and deadlines, frequency of review</w:t>
            </w:r>
            <w:r>
              <w:rPr>
                <w:rFonts w:ascii="Arial" w:eastAsia="Times New Roman" w:hAnsi="Arial" w:cs="Arial"/>
              </w:rPr>
              <w:t>:</w:t>
            </w:r>
          </w:p>
          <w:p w14:paraId="74D3F95A"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 xml:space="preserve">Turnaround times for review and either approving or denying a ST request are based on state requirements. However, on average across Wellfleet’s book of business ST requests are processed within 1 business day. </w:t>
            </w:r>
          </w:p>
          <w:p w14:paraId="0311ED08"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Authorizations across the board for both M/S and MHSUD drugs are valid for 365 days from approval. The only exceptions here are for products that have regulatory implications, which will be approved based on the regulatory statute.</w:t>
            </w:r>
          </w:p>
          <w:p w14:paraId="61BEFEC8"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Appeals turnaround times are the same for all drugs and are dependent on federal and state regulations to ensure compliance.</w:t>
            </w:r>
          </w:p>
          <w:p w14:paraId="7741254F" w14:textId="77777777" w:rsidR="00C87444" w:rsidRDefault="00C87444">
            <w:pPr>
              <w:rPr>
                <w:rFonts w:ascii="Arial" w:eastAsia="Times New Roman" w:hAnsi="Arial" w:cs="Arial"/>
              </w:rPr>
            </w:pPr>
          </w:p>
          <w:p w14:paraId="194132B3" w14:textId="77777777" w:rsidR="00C87444" w:rsidRDefault="00C87444">
            <w:pPr>
              <w:rPr>
                <w:rFonts w:ascii="Arial" w:eastAsia="Times New Roman" w:hAnsi="Arial" w:cs="Arial"/>
              </w:rPr>
            </w:pPr>
            <w:r>
              <w:rPr>
                <w:rFonts w:ascii="Arial" w:eastAsia="Times New Roman" w:hAnsi="Arial" w:cs="Arial"/>
                <w:i/>
              </w:rPr>
              <w:t>Forms and/or other information required to be submitted by the provider</w:t>
            </w:r>
            <w:r>
              <w:rPr>
                <w:rFonts w:ascii="Arial" w:eastAsia="Times New Roman" w:hAnsi="Arial" w:cs="Arial"/>
              </w:rPr>
              <w:t>:</w:t>
            </w:r>
          </w:p>
          <w:p w14:paraId="7542BF30"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 xml:space="preserve">Providers can request Step Therapy Exceptions by calling Express Scripts Prior Authorization department directly, utilizing </w:t>
            </w:r>
            <w:proofErr w:type="spellStart"/>
            <w:r>
              <w:rPr>
                <w:rFonts w:ascii="Arial" w:eastAsia="Times New Roman" w:hAnsi="Arial" w:cs="Arial"/>
              </w:rPr>
              <w:t>CoverMyMeds</w:t>
            </w:r>
            <w:proofErr w:type="spellEnd"/>
            <w:r>
              <w:rPr>
                <w:rFonts w:ascii="Arial" w:eastAsia="Times New Roman" w:hAnsi="Arial" w:cs="Arial"/>
              </w:rPr>
              <w:t xml:space="preserve">, Express Path, or </w:t>
            </w:r>
            <w:proofErr w:type="spellStart"/>
            <w:r>
              <w:rPr>
                <w:rFonts w:ascii="Arial" w:eastAsia="Times New Roman" w:hAnsi="Arial" w:cs="Arial"/>
              </w:rPr>
              <w:t>SureScripts</w:t>
            </w:r>
            <w:proofErr w:type="spellEnd"/>
            <w:r>
              <w:rPr>
                <w:rFonts w:ascii="Arial" w:eastAsia="Times New Roman" w:hAnsi="Arial" w:cs="Arial"/>
              </w:rPr>
              <w:t xml:space="preserve"> </w:t>
            </w:r>
            <w:proofErr w:type="spellStart"/>
            <w:r>
              <w:rPr>
                <w:rFonts w:ascii="Arial" w:eastAsia="Times New Roman" w:hAnsi="Arial" w:cs="Arial"/>
              </w:rPr>
              <w:t>ePA</w:t>
            </w:r>
            <w:proofErr w:type="spellEnd"/>
            <w:r>
              <w:rPr>
                <w:rFonts w:ascii="Arial" w:eastAsia="Times New Roman" w:hAnsi="Arial" w:cs="Arial"/>
              </w:rPr>
              <w:t xml:space="preserve"> software, or by completing a standard Prior Authorization Request Form and faxing directly to Express Scripts Prior Authorization department. Submission of medical chart notes / patient drug history may be required for these Step Therapy Exceptions. </w:t>
            </w:r>
          </w:p>
          <w:p w14:paraId="1CAD7D31"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If a member has a history of the required step drugs in their profile with Express Scripts, they will automatically get a paid claim at point-of-sale without the provider being required to submit an exception request. This can be done for all drugs that require Step Therapy, regardless of drug classification.</w:t>
            </w:r>
          </w:p>
          <w:p w14:paraId="46A871E1" w14:textId="77777777" w:rsidR="00C87444" w:rsidRDefault="00C87444">
            <w:pPr>
              <w:rPr>
                <w:rFonts w:ascii="Arial" w:eastAsia="Times New Roman" w:hAnsi="Arial" w:cs="Arial"/>
              </w:rPr>
            </w:pPr>
          </w:p>
          <w:p w14:paraId="47259D9A" w14:textId="77777777" w:rsidR="00C87444" w:rsidRDefault="00C87444">
            <w:pPr>
              <w:rPr>
                <w:rFonts w:ascii="Arial" w:eastAsia="Times New Roman" w:hAnsi="Arial" w:cs="Arial"/>
              </w:rPr>
            </w:pPr>
          </w:p>
          <w:p w14:paraId="091C071F" w14:textId="77777777" w:rsidR="00C87444" w:rsidRDefault="00C87444">
            <w:pPr>
              <w:rPr>
                <w:rFonts w:ascii="Arial" w:eastAsia="Times New Roman" w:hAnsi="Arial" w:cs="Arial"/>
              </w:rPr>
            </w:pPr>
            <w:r>
              <w:rPr>
                <w:rFonts w:ascii="Arial" w:eastAsia="Times New Roman" w:hAnsi="Arial" w:cs="Arial"/>
                <w:i/>
              </w:rPr>
              <w:t xml:space="preserve">Utilization management manuals and any other documentation of UM processes that are relied upon to </w:t>
            </w:r>
            <w:proofErr w:type="gramStart"/>
            <w:r>
              <w:rPr>
                <w:rFonts w:ascii="Arial" w:eastAsia="Times New Roman" w:hAnsi="Arial" w:cs="Arial"/>
                <w:i/>
              </w:rPr>
              <w:t>make a determination</w:t>
            </w:r>
            <w:proofErr w:type="gramEnd"/>
            <w:r>
              <w:rPr>
                <w:rFonts w:ascii="Arial" w:eastAsia="Times New Roman" w:hAnsi="Arial" w:cs="Arial"/>
              </w:rPr>
              <w:t>:</w:t>
            </w:r>
          </w:p>
          <w:p w14:paraId="1349F280"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hAnsi="Arial" w:cs="Arial"/>
              </w:rPr>
              <w:t xml:space="preserve">The P&amp;T Policy &amp; Procedures and Formulary Management Policy are reviewed at least annually to ensure there is no verbiage indicating a bias towards any </w:t>
            </w:r>
            <w:proofErr w:type="gramStart"/>
            <w:r>
              <w:rPr>
                <w:rFonts w:ascii="Arial" w:hAnsi="Arial" w:cs="Arial"/>
              </w:rPr>
              <w:t>particular subset</w:t>
            </w:r>
            <w:proofErr w:type="gramEnd"/>
            <w:r>
              <w:rPr>
                <w:rFonts w:ascii="Arial" w:hAnsi="Arial" w:cs="Arial"/>
              </w:rPr>
              <w:t xml:space="preserve"> of drugs. These policies dictate that all decisions should be based off the clinical merits of the drug, not the classification of </w:t>
            </w:r>
            <w:proofErr w:type="gramStart"/>
            <w:r>
              <w:rPr>
                <w:rFonts w:ascii="Arial" w:hAnsi="Arial" w:cs="Arial"/>
              </w:rPr>
              <w:t>drug</w:t>
            </w:r>
            <w:proofErr w:type="gramEnd"/>
            <w:r>
              <w:rPr>
                <w:rFonts w:ascii="Arial" w:hAnsi="Arial" w:cs="Arial"/>
              </w:rPr>
              <w:t xml:space="preserve"> itself. </w:t>
            </w:r>
          </w:p>
          <w:p w14:paraId="16E8E1DC" w14:textId="77777777" w:rsidR="00C87444" w:rsidRDefault="00C87444">
            <w:pPr>
              <w:rPr>
                <w:rFonts w:ascii="Arial" w:eastAsia="Times New Roman" w:hAnsi="Arial" w:cs="Arial"/>
              </w:rPr>
            </w:pPr>
          </w:p>
          <w:p w14:paraId="7F2D61BA" w14:textId="77777777" w:rsidR="00C87444" w:rsidRDefault="00C87444">
            <w:pPr>
              <w:rPr>
                <w:rFonts w:ascii="Arial" w:eastAsia="Times New Roman" w:hAnsi="Arial" w:cs="Arial"/>
                <w:i/>
                <w:iCs/>
              </w:rPr>
            </w:pPr>
            <w:r>
              <w:rPr>
                <w:rFonts w:ascii="Arial" w:eastAsia="Times New Roman" w:hAnsi="Arial" w:cs="Arial"/>
                <w:i/>
                <w:iCs/>
              </w:rPr>
              <w:t xml:space="preserve">Relevant </w:t>
            </w:r>
            <w:proofErr w:type="gramStart"/>
            <w:r>
              <w:rPr>
                <w:rFonts w:ascii="Arial" w:eastAsia="Times New Roman" w:hAnsi="Arial" w:cs="Arial"/>
                <w:i/>
                <w:iCs/>
              </w:rPr>
              <w:t>Decision Making</w:t>
            </w:r>
            <w:proofErr w:type="gramEnd"/>
            <w:r>
              <w:rPr>
                <w:rFonts w:ascii="Arial" w:eastAsia="Times New Roman" w:hAnsi="Arial" w:cs="Arial"/>
                <w:i/>
                <w:iCs/>
              </w:rPr>
              <w:t xml:space="preserve"> Committees </w:t>
            </w:r>
          </w:p>
          <w:p w14:paraId="0B0B0E3D" w14:textId="77777777" w:rsidR="00C87444" w:rsidRDefault="00C87444" w:rsidP="00C87444">
            <w:pPr>
              <w:pStyle w:val="ListParagraph"/>
              <w:numPr>
                <w:ilvl w:val="0"/>
                <w:numId w:val="59"/>
              </w:numPr>
              <w:spacing w:after="0" w:line="240" w:lineRule="auto"/>
              <w:rPr>
                <w:rFonts w:ascii="Arial" w:eastAsia="Times New Roman" w:hAnsi="Arial" w:cs="Arial"/>
                <w:i/>
                <w:iCs/>
              </w:rPr>
            </w:pPr>
            <w:r>
              <w:rPr>
                <w:rFonts w:ascii="Arial" w:eastAsia="Times New Roman" w:hAnsi="Arial" w:cs="Arial"/>
              </w:rPr>
              <w:t>P&amp;T Committee</w:t>
            </w:r>
          </w:p>
          <w:p w14:paraId="422E02C4" w14:textId="77777777" w:rsidR="00C87444" w:rsidRDefault="00C87444" w:rsidP="00C87444">
            <w:pPr>
              <w:pStyle w:val="ListParagraph"/>
              <w:numPr>
                <w:ilvl w:val="1"/>
                <w:numId w:val="59"/>
              </w:numPr>
              <w:spacing w:after="0" w:line="240" w:lineRule="auto"/>
              <w:rPr>
                <w:rFonts w:ascii="Arial" w:eastAsia="Times New Roman" w:hAnsi="Arial" w:cs="Arial"/>
              </w:rPr>
            </w:pPr>
            <w:r>
              <w:rPr>
                <w:rFonts w:ascii="Arial" w:eastAsia="Times New Roman" w:hAnsi="Arial" w:cs="Arial"/>
              </w:rPr>
              <w:t>The P&amp;T Committee is responsible for assessing the clinical merits of drug therapies. The committee shall provide clinical rationale and guidance on formulary placement. The Value Assessment Committee (VAC) follows the P&amp;T Committee recommendations to finalize formulary placement decisions.</w:t>
            </w:r>
          </w:p>
          <w:p w14:paraId="7A2CF36A" w14:textId="77777777" w:rsidR="00C87444" w:rsidRDefault="00C87444" w:rsidP="00C87444">
            <w:pPr>
              <w:pStyle w:val="ListParagraph"/>
              <w:numPr>
                <w:ilvl w:val="1"/>
                <w:numId w:val="59"/>
              </w:numPr>
              <w:spacing w:after="0" w:line="240" w:lineRule="auto"/>
              <w:rPr>
                <w:rFonts w:ascii="Arial" w:eastAsia="Times New Roman" w:hAnsi="Arial" w:cs="Arial"/>
              </w:rPr>
            </w:pPr>
            <w:r>
              <w:rPr>
                <w:rFonts w:ascii="Arial" w:eastAsia="Times New Roman" w:hAnsi="Arial" w:cs="Arial"/>
              </w:rPr>
              <w:t>The P&amp;T Committee is responsible for approving any new Utilization Management policies (guidelines) or negative changes (any change creating a larger barrier to member access) to these guidelines. If a guideline change includes any criteria that differs from the FDA approved labeling information, it will also require justification and approval from the P&amp;T Committee. Guidelines shall also be reviewed annually for approval. At each P&amp;T meeting, the new, updated, and a quarter of all other guidelines will be discussed and approved/denied.</w:t>
            </w:r>
          </w:p>
          <w:p w14:paraId="29831E06"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Value Assessment Committee (VAC)</w:t>
            </w:r>
          </w:p>
          <w:p w14:paraId="2623910A" w14:textId="77777777" w:rsidR="00C87444" w:rsidRDefault="00C87444" w:rsidP="00C87444">
            <w:pPr>
              <w:pStyle w:val="ListParagraph"/>
              <w:numPr>
                <w:ilvl w:val="1"/>
                <w:numId w:val="59"/>
              </w:numPr>
              <w:spacing w:after="0" w:line="240" w:lineRule="auto"/>
              <w:rPr>
                <w:rFonts w:ascii="Arial" w:eastAsia="Times New Roman" w:hAnsi="Arial" w:cs="Arial"/>
              </w:rPr>
            </w:pPr>
            <w:r>
              <w:rPr>
                <w:rFonts w:ascii="Arial" w:eastAsia="Times New Roman" w:hAnsi="Arial" w:cs="Arial"/>
              </w:rPr>
              <w:t>The VAC is responsible for determining tiering and Utilization Management decisions for drugs that are designed as ‘include’ by the P&amp;T Committee. These drugs shall not be removed from formulary without prior approval from the P&amp;T Committee. Also, determining coverage, tiering, and Utilization Management decisions for drugs that are designated as ‘optional’ by the P&amp;T Committee.</w:t>
            </w:r>
          </w:p>
          <w:p w14:paraId="3D8003B3" w14:textId="77777777" w:rsidR="00C87444" w:rsidRDefault="00C87444">
            <w:pPr>
              <w:rPr>
                <w:rFonts w:ascii="Arial" w:eastAsia="Times New Roman" w:hAnsi="Arial" w:cs="Arial"/>
                <w:i/>
              </w:rPr>
            </w:pPr>
          </w:p>
          <w:p w14:paraId="731AC669" w14:textId="77777777" w:rsidR="00C87444" w:rsidRDefault="00C87444">
            <w:pPr>
              <w:rPr>
                <w:rFonts w:ascii="Arial" w:eastAsia="Times New Roman" w:hAnsi="Arial" w:cs="Arial"/>
              </w:rPr>
            </w:pPr>
            <w:r>
              <w:rPr>
                <w:rFonts w:ascii="Arial" w:eastAsia="Times New Roman" w:hAnsi="Arial" w:cs="Arial"/>
                <w:i/>
              </w:rPr>
              <w:t>Minimum qualifications for reviewers</w:t>
            </w:r>
            <w:r>
              <w:rPr>
                <w:rFonts w:ascii="Arial" w:eastAsia="Times New Roman" w:hAnsi="Arial" w:cs="Arial"/>
              </w:rPr>
              <w:t>:</w:t>
            </w:r>
          </w:p>
          <w:p w14:paraId="653AA8EC"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 xml:space="preserve">To become members of the P&amp;T Committee, the physicians must be board certified licensed physicians with over 5 years of experience in their respective fields. We use the clinical expertise of the P&amp;T Committee members along with published clinical guidelines and scientific evidence to achieve consensus </w:t>
            </w:r>
            <w:proofErr w:type="gramStart"/>
            <w:r>
              <w:rPr>
                <w:rFonts w:ascii="Arial" w:eastAsia="Times New Roman" w:hAnsi="Arial" w:cs="Arial"/>
              </w:rPr>
              <w:t>in order to</w:t>
            </w:r>
            <w:proofErr w:type="gramEnd"/>
            <w:r>
              <w:rPr>
                <w:rFonts w:ascii="Arial" w:eastAsia="Times New Roman" w:hAnsi="Arial" w:cs="Arial"/>
              </w:rPr>
              <w:t xml:space="preserve"> set Quantity Limits.</w:t>
            </w:r>
          </w:p>
          <w:p w14:paraId="166F4C77"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Every PAR, UMP, Nurse, and Medical Director goes through extensive training to make sure we are providing the most complete and comprehensive service for each one of our members. The training consists of both in classroom, on the job shadowing, monthly quality reviewing of cases, and weekly meetings to provide any new/updated information that needs to be shared with the teams.</w:t>
            </w:r>
          </w:p>
          <w:p w14:paraId="46D525D4" w14:textId="77777777" w:rsidR="00C87444" w:rsidRDefault="00C87444">
            <w:pPr>
              <w:pStyle w:val="ListParagraph"/>
              <w:rPr>
                <w:rFonts w:ascii="Arial" w:eastAsia="Times New Roman" w:hAnsi="Arial" w:cs="Arial"/>
              </w:rPr>
            </w:pPr>
          </w:p>
          <w:p w14:paraId="7A19237C" w14:textId="77777777" w:rsidR="00C87444" w:rsidRDefault="00C87444">
            <w:pPr>
              <w:rPr>
                <w:rFonts w:ascii="Arial" w:eastAsia="Times New Roman" w:hAnsi="Arial" w:cs="Arial"/>
              </w:rPr>
            </w:pPr>
            <w:r>
              <w:rPr>
                <w:rFonts w:ascii="Arial" w:eastAsia="Times New Roman" w:hAnsi="Arial" w:cs="Arial"/>
                <w:i/>
              </w:rPr>
              <w:t>Minimum standards to issue a denial</w:t>
            </w:r>
            <w:r>
              <w:rPr>
                <w:rFonts w:ascii="Arial" w:eastAsia="Times New Roman" w:hAnsi="Arial" w:cs="Arial"/>
              </w:rPr>
              <w:t>:</w:t>
            </w:r>
          </w:p>
          <w:p w14:paraId="31733459" w14:textId="77777777" w:rsidR="00C87444" w:rsidRDefault="00C87444">
            <w:pPr>
              <w:rPr>
                <w:rFonts w:ascii="Arial" w:eastAsia="Times New Roman" w:hAnsi="Arial" w:cs="Arial"/>
              </w:rPr>
            </w:pPr>
          </w:p>
          <w:p w14:paraId="2BAC0E2E"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hAnsi="Arial" w:cs="Arial"/>
              </w:rPr>
              <w:t xml:space="preserve">The same Exceptions policy, which is reviewed annually by the Pharmacy &amp; Therapeutics Committee, is used for both MH/SUD and M/S drugs. It is also reviewed </w:t>
            </w:r>
            <w:proofErr w:type="gramStart"/>
            <w:r>
              <w:rPr>
                <w:rFonts w:ascii="Arial" w:hAnsi="Arial" w:cs="Arial"/>
              </w:rPr>
              <w:t>in order to</w:t>
            </w:r>
            <w:proofErr w:type="gramEnd"/>
            <w:r>
              <w:rPr>
                <w:rFonts w:ascii="Arial" w:hAnsi="Arial" w:cs="Arial"/>
              </w:rPr>
              <w:t xml:space="preserve"> determine whether there is any verbiage that would cause decisions regarding exceptions to the application of step therapy to be made out of parity. The exceptions policy currently requires one of four main points for approval, none of which are biased toward M/S or MH/SUD drugs: 1. The patient has a contraindication to the required Step drug; 2. The prescriber suspects the required Step drug to be ineffective for the patient; 3. The patient has tried a therapeutically equivalent dose of the required Step drug under the current or previous health plan for a long enough period of time to reach a therapeutic improvement and was discontinued due to lack of improvement; 4. The patient is currently receiving a positive outcome on the requested drug and should not discontinue.</w:t>
            </w:r>
          </w:p>
          <w:p w14:paraId="02A8B802"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 xml:space="preserve">If a member has not met criteria for Step therapy exception and provider cannot provide documentation as described above for an exception, they will be issued a </w:t>
            </w:r>
            <w:proofErr w:type="gramStart"/>
            <w:r>
              <w:rPr>
                <w:rFonts w:ascii="Arial" w:eastAsia="Times New Roman" w:hAnsi="Arial" w:cs="Arial"/>
              </w:rPr>
              <w:t>denial</w:t>
            </w:r>
            <w:proofErr w:type="gramEnd"/>
          </w:p>
          <w:p w14:paraId="1DA7C82C" w14:textId="77777777" w:rsidR="00C87444" w:rsidRDefault="00C87444" w:rsidP="00C87444">
            <w:pPr>
              <w:pStyle w:val="ListParagraph"/>
              <w:numPr>
                <w:ilvl w:val="0"/>
                <w:numId w:val="59"/>
              </w:numPr>
              <w:spacing w:after="0" w:line="240" w:lineRule="auto"/>
              <w:rPr>
                <w:rFonts w:ascii="Arial" w:eastAsia="Times New Roman" w:hAnsi="Arial" w:cs="Arial"/>
              </w:rPr>
            </w:pPr>
            <w:r>
              <w:rPr>
                <w:rFonts w:ascii="Arial" w:eastAsia="Times New Roman" w:hAnsi="Arial" w:cs="Arial"/>
              </w:rPr>
              <w:t xml:space="preserve">Depending on state requirements, a denial may only be issued by certain individuals with </w:t>
            </w:r>
            <w:proofErr w:type="gramStart"/>
            <w:r>
              <w:rPr>
                <w:rFonts w:ascii="Arial" w:eastAsia="Times New Roman" w:hAnsi="Arial" w:cs="Arial"/>
              </w:rPr>
              <w:t>particular qualifications</w:t>
            </w:r>
            <w:proofErr w:type="gramEnd"/>
            <w:r>
              <w:rPr>
                <w:rFonts w:ascii="Arial" w:eastAsia="Times New Roman" w:hAnsi="Arial" w:cs="Arial"/>
              </w:rPr>
              <w:t xml:space="preserve"> (e.g. physician with same/similar specialty licensed in same state, pharmacist, etc.). This is kept consistent for M/S and MH/SUD.</w:t>
            </w:r>
          </w:p>
          <w:p w14:paraId="48B6F03E" w14:textId="77777777" w:rsidR="00C87444" w:rsidRDefault="00C87444">
            <w:pPr>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2D2B441B" w14:textId="77777777" w:rsidR="00C87444" w:rsidRDefault="00C87444">
            <w:pPr>
              <w:rPr>
                <w:rFonts w:ascii="Arial" w:eastAsia="Times New Roman" w:hAnsi="Arial" w:cs="Arial"/>
              </w:rPr>
            </w:pPr>
            <w:r>
              <w:rPr>
                <w:rFonts w:ascii="Arial" w:eastAsia="Times New Roman" w:hAnsi="Arial" w:cs="Arial"/>
                <w:b/>
                <w:i/>
              </w:rPr>
              <w:t>Briefly describe the processes by which Step Therapy is applied to MH/SUD benefits</w:t>
            </w:r>
            <w:r>
              <w:rPr>
                <w:rFonts w:ascii="Arial" w:eastAsia="Times New Roman" w:hAnsi="Arial" w:cs="Arial"/>
              </w:rPr>
              <w:t>:</w:t>
            </w:r>
          </w:p>
          <w:p w14:paraId="6FE08185" w14:textId="77777777" w:rsidR="00C87444" w:rsidRDefault="00C87444">
            <w:pPr>
              <w:rPr>
                <w:rFonts w:ascii="Arial" w:eastAsia="Times New Roman" w:hAnsi="Arial" w:cs="Arial"/>
              </w:rPr>
            </w:pPr>
          </w:p>
          <w:p w14:paraId="12D5B09F" w14:textId="77777777" w:rsidR="00C87444" w:rsidRDefault="00C87444">
            <w:pPr>
              <w:rPr>
                <w:rFonts w:ascii="Arial" w:eastAsia="Times New Roman" w:hAnsi="Arial" w:cs="Arial"/>
              </w:rPr>
            </w:pPr>
            <w:r>
              <w:rPr>
                <w:rFonts w:ascii="Arial" w:eastAsia="Times New Roman" w:hAnsi="Arial" w:cs="Arial"/>
                <w:i/>
              </w:rPr>
              <w:t>Timelines and deadlines, frequency of review</w:t>
            </w:r>
            <w:r>
              <w:rPr>
                <w:rFonts w:ascii="Arial" w:eastAsia="Times New Roman" w:hAnsi="Arial" w:cs="Arial"/>
              </w:rPr>
              <w:t>:</w:t>
            </w:r>
          </w:p>
          <w:p w14:paraId="2AE58D6B"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eastAsia="Times New Roman" w:hAnsi="Arial" w:cs="Arial"/>
              </w:rPr>
              <w:t>Same as M/S</w:t>
            </w:r>
          </w:p>
          <w:p w14:paraId="436F0A8D" w14:textId="77777777" w:rsidR="00C87444" w:rsidRDefault="00C87444">
            <w:pPr>
              <w:rPr>
                <w:rFonts w:ascii="Arial" w:eastAsia="Times New Roman" w:hAnsi="Arial" w:cs="Arial"/>
              </w:rPr>
            </w:pPr>
          </w:p>
          <w:p w14:paraId="15F4A468" w14:textId="77777777" w:rsidR="00C87444" w:rsidRDefault="00C87444">
            <w:pPr>
              <w:rPr>
                <w:rFonts w:ascii="Arial" w:eastAsia="Times New Roman" w:hAnsi="Arial" w:cs="Arial"/>
              </w:rPr>
            </w:pPr>
          </w:p>
          <w:p w14:paraId="6553F3CF" w14:textId="77777777" w:rsidR="00C87444" w:rsidRDefault="00C87444">
            <w:pPr>
              <w:rPr>
                <w:rFonts w:ascii="Arial" w:eastAsia="Times New Roman" w:hAnsi="Arial" w:cs="Arial"/>
                <w:i/>
              </w:rPr>
            </w:pPr>
          </w:p>
          <w:p w14:paraId="60BD37B8" w14:textId="77777777" w:rsidR="00C87444" w:rsidRDefault="00C87444">
            <w:pPr>
              <w:rPr>
                <w:rFonts w:ascii="Arial" w:eastAsia="Times New Roman" w:hAnsi="Arial" w:cs="Arial"/>
                <w:i/>
              </w:rPr>
            </w:pPr>
          </w:p>
          <w:p w14:paraId="560F80C8" w14:textId="77777777" w:rsidR="00C87444" w:rsidRDefault="00C87444">
            <w:pPr>
              <w:rPr>
                <w:rFonts w:ascii="Arial" w:eastAsia="Times New Roman" w:hAnsi="Arial" w:cs="Arial"/>
                <w:i/>
              </w:rPr>
            </w:pPr>
          </w:p>
          <w:p w14:paraId="2BCC6AEC" w14:textId="77777777" w:rsidR="00C87444" w:rsidRDefault="00C87444">
            <w:pPr>
              <w:rPr>
                <w:rFonts w:ascii="Arial" w:eastAsia="Times New Roman" w:hAnsi="Arial" w:cs="Arial"/>
                <w:i/>
              </w:rPr>
            </w:pPr>
          </w:p>
          <w:p w14:paraId="5C2EB9A6" w14:textId="77777777" w:rsidR="00C87444" w:rsidRDefault="00C87444">
            <w:pPr>
              <w:rPr>
                <w:rFonts w:ascii="Arial" w:eastAsia="Times New Roman" w:hAnsi="Arial" w:cs="Arial"/>
                <w:i/>
              </w:rPr>
            </w:pPr>
          </w:p>
          <w:p w14:paraId="0794EDF3" w14:textId="77777777" w:rsidR="00C87444" w:rsidRDefault="00C87444">
            <w:pPr>
              <w:rPr>
                <w:rFonts w:ascii="Arial" w:eastAsia="Times New Roman" w:hAnsi="Arial" w:cs="Arial"/>
                <w:i/>
              </w:rPr>
            </w:pPr>
          </w:p>
          <w:p w14:paraId="7779322E" w14:textId="77777777" w:rsidR="00C87444" w:rsidRDefault="00C87444">
            <w:pPr>
              <w:rPr>
                <w:rFonts w:ascii="Arial" w:eastAsia="Times New Roman" w:hAnsi="Arial" w:cs="Arial"/>
              </w:rPr>
            </w:pPr>
            <w:r>
              <w:rPr>
                <w:rFonts w:ascii="Arial" w:eastAsia="Times New Roman" w:hAnsi="Arial" w:cs="Arial"/>
                <w:i/>
              </w:rPr>
              <w:t>Forms and/or other information required to be submitted by the provider</w:t>
            </w:r>
            <w:r>
              <w:rPr>
                <w:rFonts w:ascii="Arial" w:eastAsia="Times New Roman" w:hAnsi="Arial" w:cs="Arial"/>
              </w:rPr>
              <w:t>:</w:t>
            </w:r>
          </w:p>
          <w:p w14:paraId="7F8703AC"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eastAsia="Times New Roman" w:hAnsi="Arial" w:cs="Arial"/>
              </w:rPr>
              <w:t>Same as M/S</w:t>
            </w:r>
          </w:p>
          <w:p w14:paraId="79A4CC26" w14:textId="77777777" w:rsidR="00C87444" w:rsidRDefault="00C87444">
            <w:pPr>
              <w:rPr>
                <w:rFonts w:ascii="Arial" w:eastAsia="Times New Roman" w:hAnsi="Arial" w:cs="Arial"/>
              </w:rPr>
            </w:pPr>
          </w:p>
          <w:p w14:paraId="4238D8F2" w14:textId="77777777" w:rsidR="00C87444" w:rsidRDefault="00C87444">
            <w:pPr>
              <w:rPr>
                <w:rFonts w:ascii="Arial" w:eastAsia="Times New Roman" w:hAnsi="Arial" w:cs="Arial"/>
              </w:rPr>
            </w:pPr>
          </w:p>
          <w:p w14:paraId="19E7A198" w14:textId="77777777" w:rsidR="00C87444" w:rsidRDefault="00C87444">
            <w:pPr>
              <w:rPr>
                <w:rFonts w:ascii="Arial" w:eastAsia="Times New Roman" w:hAnsi="Arial" w:cs="Arial"/>
                <w:i/>
              </w:rPr>
            </w:pPr>
          </w:p>
          <w:p w14:paraId="662F0A5A" w14:textId="77777777" w:rsidR="00C87444" w:rsidRDefault="00C87444">
            <w:pPr>
              <w:rPr>
                <w:rFonts w:ascii="Arial" w:eastAsia="Times New Roman" w:hAnsi="Arial" w:cs="Arial"/>
                <w:i/>
              </w:rPr>
            </w:pPr>
          </w:p>
          <w:p w14:paraId="35ACF922" w14:textId="77777777" w:rsidR="00C87444" w:rsidRDefault="00C87444">
            <w:pPr>
              <w:rPr>
                <w:rFonts w:ascii="Arial" w:eastAsia="Times New Roman" w:hAnsi="Arial" w:cs="Arial"/>
                <w:i/>
              </w:rPr>
            </w:pPr>
          </w:p>
          <w:p w14:paraId="47DE7068" w14:textId="77777777" w:rsidR="00C87444" w:rsidRDefault="00C87444">
            <w:pPr>
              <w:rPr>
                <w:rFonts w:ascii="Arial" w:eastAsia="Times New Roman" w:hAnsi="Arial" w:cs="Arial"/>
                <w:i/>
              </w:rPr>
            </w:pPr>
          </w:p>
          <w:p w14:paraId="3B8B2491" w14:textId="77777777" w:rsidR="00C87444" w:rsidRDefault="00C87444">
            <w:pPr>
              <w:rPr>
                <w:rFonts w:ascii="Arial" w:eastAsia="Times New Roman" w:hAnsi="Arial" w:cs="Arial"/>
                <w:i/>
              </w:rPr>
            </w:pPr>
          </w:p>
          <w:p w14:paraId="64069FE5" w14:textId="77777777" w:rsidR="00C87444" w:rsidRDefault="00C87444">
            <w:pPr>
              <w:rPr>
                <w:rFonts w:ascii="Arial" w:eastAsia="Times New Roman" w:hAnsi="Arial" w:cs="Arial"/>
                <w:i/>
              </w:rPr>
            </w:pPr>
          </w:p>
          <w:p w14:paraId="6D31107F" w14:textId="77777777" w:rsidR="00C87444" w:rsidRDefault="00C87444">
            <w:pPr>
              <w:rPr>
                <w:rFonts w:ascii="Arial" w:eastAsia="Times New Roman" w:hAnsi="Arial" w:cs="Arial"/>
                <w:i/>
              </w:rPr>
            </w:pPr>
          </w:p>
          <w:p w14:paraId="4104AEB5" w14:textId="77777777" w:rsidR="00FD0F3F" w:rsidRDefault="00FD0F3F">
            <w:pPr>
              <w:rPr>
                <w:rFonts w:ascii="Arial" w:eastAsia="Times New Roman" w:hAnsi="Arial" w:cs="Arial"/>
                <w:i/>
              </w:rPr>
            </w:pPr>
          </w:p>
          <w:p w14:paraId="3A48F153" w14:textId="77777777" w:rsidR="00FD0F3F" w:rsidRDefault="00FD0F3F">
            <w:pPr>
              <w:rPr>
                <w:rFonts w:ascii="Arial" w:eastAsia="Times New Roman" w:hAnsi="Arial" w:cs="Arial"/>
                <w:i/>
              </w:rPr>
            </w:pPr>
          </w:p>
          <w:p w14:paraId="1D8AC10E" w14:textId="77777777" w:rsidR="00FD0F3F" w:rsidRDefault="00FD0F3F">
            <w:pPr>
              <w:rPr>
                <w:rFonts w:ascii="Arial" w:eastAsia="Times New Roman" w:hAnsi="Arial" w:cs="Arial"/>
                <w:i/>
              </w:rPr>
            </w:pPr>
          </w:p>
          <w:p w14:paraId="4607AAA7" w14:textId="77777777" w:rsidR="00FD0F3F" w:rsidRDefault="00FD0F3F">
            <w:pPr>
              <w:rPr>
                <w:rFonts w:ascii="Arial" w:eastAsia="Times New Roman" w:hAnsi="Arial" w:cs="Arial"/>
                <w:i/>
              </w:rPr>
            </w:pPr>
          </w:p>
          <w:p w14:paraId="126C9E1B" w14:textId="77777777" w:rsidR="00FD0F3F" w:rsidRDefault="00FD0F3F">
            <w:pPr>
              <w:rPr>
                <w:rFonts w:ascii="Arial" w:eastAsia="Times New Roman" w:hAnsi="Arial" w:cs="Arial"/>
                <w:i/>
              </w:rPr>
            </w:pPr>
          </w:p>
          <w:p w14:paraId="7A6345ED" w14:textId="77777777" w:rsidR="00FD0F3F" w:rsidRDefault="00FD0F3F">
            <w:pPr>
              <w:rPr>
                <w:rFonts w:ascii="Arial" w:eastAsia="Times New Roman" w:hAnsi="Arial" w:cs="Arial"/>
                <w:i/>
              </w:rPr>
            </w:pPr>
          </w:p>
          <w:p w14:paraId="0E52BF17" w14:textId="77777777" w:rsidR="00C87444" w:rsidRDefault="00C87444">
            <w:pPr>
              <w:rPr>
                <w:rFonts w:ascii="Arial" w:eastAsia="Times New Roman" w:hAnsi="Arial" w:cs="Arial"/>
                <w:i/>
              </w:rPr>
            </w:pPr>
          </w:p>
          <w:p w14:paraId="17799F03" w14:textId="77777777" w:rsidR="00C87444" w:rsidRDefault="00C87444">
            <w:pPr>
              <w:rPr>
                <w:rFonts w:ascii="Arial" w:eastAsia="Times New Roman" w:hAnsi="Arial" w:cs="Arial"/>
              </w:rPr>
            </w:pPr>
            <w:r>
              <w:rPr>
                <w:rFonts w:ascii="Arial" w:eastAsia="Times New Roman" w:hAnsi="Arial" w:cs="Arial"/>
                <w:i/>
              </w:rPr>
              <w:t xml:space="preserve">Utilization management manuals and any other documentation of UM processes that are relied upon to </w:t>
            </w:r>
            <w:proofErr w:type="gramStart"/>
            <w:r>
              <w:rPr>
                <w:rFonts w:ascii="Arial" w:eastAsia="Times New Roman" w:hAnsi="Arial" w:cs="Arial"/>
                <w:i/>
              </w:rPr>
              <w:t>make a determination</w:t>
            </w:r>
            <w:proofErr w:type="gramEnd"/>
            <w:r>
              <w:rPr>
                <w:rFonts w:ascii="Arial" w:eastAsia="Times New Roman" w:hAnsi="Arial" w:cs="Arial"/>
              </w:rPr>
              <w:t>:</w:t>
            </w:r>
          </w:p>
          <w:p w14:paraId="2FD5FEC6"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eastAsia="Times New Roman" w:hAnsi="Arial" w:cs="Arial"/>
              </w:rPr>
              <w:t>Same as M/S</w:t>
            </w:r>
          </w:p>
          <w:p w14:paraId="3F9BACC0" w14:textId="77777777" w:rsidR="00C87444" w:rsidRDefault="00C87444">
            <w:pPr>
              <w:rPr>
                <w:rFonts w:ascii="Arial" w:eastAsia="Times New Roman" w:hAnsi="Arial" w:cs="Arial"/>
              </w:rPr>
            </w:pPr>
          </w:p>
          <w:p w14:paraId="523F0BC7" w14:textId="77777777" w:rsidR="00C87444" w:rsidRDefault="00C87444">
            <w:pPr>
              <w:rPr>
                <w:rFonts w:ascii="Arial" w:eastAsia="Times New Roman" w:hAnsi="Arial" w:cs="Arial"/>
              </w:rPr>
            </w:pPr>
          </w:p>
          <w:p w14:paraId="57B3BCD0" w14:textId="77777777" w:rsidR="00C87444" w:rsidRDefault="00C87444">
            <w:pPr>
              <w:rPr>
                <w:rFonts w:ascii="Arial" w:eastAsia="Times New Roman" w:hAnsi="Arial" w:cs="Arial"/>
              </w:rPr>
            </w:pPr>
          </w:p>
          <w:p w14:paraId="255F6A81" w14:textId="77777777" w:rsidR="00C87444" w:rsidRDefault="00C87444">
            <w:pPr>
              <w:rPr>
                <w:rFonts w:ascii="Arial" w:eastAsia="Times New Roman" w:hAnsi="Arial" w:cs="Arial"/>
                <w:i/>
                <w:iCs/>
              </w:rPr>
            </w:pPr>
          </w:p>
          <w:p w14:paraId="5885A2C4" w14:textId="77777777" w:rsidR="00C87444" w:rsidRDefault="00C87444">
            <w:pPr>
              <w:rPr>
                <w:rFonts w:ascii="Arial" w:eastAsia="Times New Roman" w:hAnsi="Arial" w:cs="Arial"/>
                <w:i/>
                <w:iCs/>
              </w:rPr>
            </w:pPr>
          </w:p>
          <w:p w14:paraId="19C2131F" w14:textId="77777777" w:rsidR="00C87444" w:rsidRDefault="00C87444">
            <w:pPr>
              <w:rPr>
                <w:rFonts w:ascii="Arial" w:eastAsia="Times New Roman" w:hAnsi="Arial" w:cs="Arial"/>
                <w:i/>
                <w:iCs/>
              </w:rPr>
            </w:pPr>
            <w:r>
              <w:rPr>
                <w:rFonts w:ascii="Arial" w:eastAsia="Times New Roman" w:hAnsi="Arial" w:cs="Arial"/>
                <w:i/>
                <w:iCs/>
              </w:rPr>
              <w:t xml:space="preserve">Relevant </w:t>
            </w:r>
            <w:proofErr w:type="gramStart"/>
            <w:r>
              <w:rPr>
                <w:rFonts w:ascii="Arial" w:eastAsia="Times New Roman" w:hAnsi="Arial" w:cs="Arial"/>
                <w:i/>
                <w:iCs/>
              </w:rPr>
              <w:t>Decision Making</w:t>
            </w:r>
            <w:proofErr w:type="gramEnd"/>
            <w:r>
              <w:rPr>
                <w:rFonts w:ascii="Arial" w:eastAsia="Times New Roman" w:hAnsi="Arial" w:cs="Arial"/>
                <w:i/>
                <w:iCs/>
              </w:rPr>
              <w:t xml:space="preserve"> Committees </w:t>
            </w:r>
          </w:p>
          <w:p w14:paraId="45643E8A"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eastAsia="Times New Roman" w:hAnsi="Arial" w:cs="Arial"/>
              </w:rPr>
              <w:t xml:space="preserve">Same as M/S </w:t>
            </w:r>
          </w:p>
          <w:p w14:paraId="31C00967" w14:textId="77777777" w:rsidR="00C87444" w:rsidRDefault="00C87444">
            <w:pPr>
              <w:rPr>
                <w:rFonts w:ascii="Arial" w:eastAsia="Times New Roman" w:hAnsi="Arial" w:cs="Arial"/>
              </w:rPr>
            </w:pPr>
          </w:p>
          <w:p w14:paraId="2F358305" w14:textId="77777777" w:rsidR="00C87444" w:rsidRDefault="00C87444">
            <w:pPr>
              <w:rPr>
                <w:rFonts w:ascii="Arial" w:eastAsia="Times New Roman" w:hAnsi="Arial" w:cs="Arial"/>
                <w:i/>
              </w:rPr>
            </w:pPr>
          </w:p>
          <w:p w14:paraId="32F01F0C" w14:textId="77777777" w:rsidR="00C87444" w:rsidRDefault="00C87444">
            <w:pPr>
              <w:rPr>
                <w:rFonts w:ascii="Arial" w:eastAsia="Times New Roman" w:hAnsi="Arial" w:cs="Arial"/>
                <w:i/>
              </w:rPr>
            </w:pPr>
          </w:p>
          <w:p w14:paraId="40E3ED18" w14:textId="77777777" w:rsidR="00C87444" w:rsidRDefault="00C87444">
            <w:pPr>
              <w:rPr>
                <w:rFonts w:ascii="Arial" w:eastAsia="Times New Roman" w:hAnsi="Arial" w:cs="Arial"/>
                <w:i/>
              </w:rPr>
            </w:pPr>
          </w:p>
          <w:p w14:paraId="030B947A" w14:textId="77777777" w:rsidR="00C87444" w:rsidRDefault="00C87444">
            <w:pPr>
              <w:rPr>
                <w:rFonts w:ascii="Arial" w:eastAsia="Times New Roman" w:hAnsi="Arial" w:cs="Arial"/>
                <w:i/>
              </w:rPr>
            </w:pPr>
          </w:p>
          <w:p w14:paraId="6E4BCF3B" w14:textId="77777777" w:rsidR="00C87444" w:rsidRDefault="00C87444">
            <w:pPr>
              <w:rPr>
                <w:rFonts w:ascii="Arial" w:eastAsia="Times New Roman" w:hAnsi="Arial" w:cs="Arial"/>
                <w:i/>
              </w:rPr>
            </w:pPr>
          </w:p>
          <w:p w14:paraId="6D59EC24" w14:textId="77777777" w:rsidR="00C87444" w:rsidRDefault="00C87444">
            <w:pPr>
              <w:rPr>
                <w:rFonts w:ascii="Arial" w:eastAsia="Times New Roman" w:hAnsi="Arial" w:cs="Arial"/>
                <w:i/>
              </w:rPr>
            </w:pPr>
          </w:p>
          <w:p w14:paraId="2DC50C9A" w14:textId="77777777" w:rsidR="00C87444" w:rsidRDefault="00C87444">
            <w:pPr>
              <w:rPr>
                <w:rFonts w:ascii="Arial" w:eastAsia="Times New Roman" w:hAnsi="Arial" w:cs="Arial"/>
                <w:i/>
              </w:rPr>
            </w:pPr>
          </w:p>
          <w:p w14:paraId="7B813C98" w14:textId="77777777" w:rsidR="00C87444" w:rsidRDefault="00C87444">
            <w:pPr>
              <w:rPr>
                <w:rFonts w:ascii="Arial" w:eastAsia="Times New Roman" w:hAnsi="Arial" w:cs="Arial"/>
                <w:i/>
              </w:rPr>
            </w:pPr>
          </w:p>
          <w:p w14:paraId="27FE8C74" w14:textId="77777777" w:rsidR="00C87444" w:rsidRDefault="00C87444">
            <w:pPr>
              <w:rPr>
                <w:rFonts w:ascii="Arial" w:eastAsia="Times New Roman" w:hAnsi="Arial" w:cs="Arial"/>
                <w:i/>
              </w:rPr>
            </w:pPr>
          </w:p>
          <w:p w14:paraId="6B5F1415" w14:textId="77777777" w:rsidR="00C87444" w:rsidRDefault="00C87444">
            <w:pPr>
              <w:rPr>
                <w:rFonts w:ascii="Arial" w:eastAsia="Times New Roman" w:hAnsi="Arial" w:cs="Arial"/>
                <w:i/>
              </w:rPr>
            </w:pPr>
          </w:p>
          <w:p w14:paraId="39925095" w14:textId="77777777" w:rsidR="00C87444" w:rsidRDefault="00C87444">
            <w:pPr>
              <w:rPr>
                <w:rFonts w:ascii="Arial" w:eastAsia="Times New Roman" w:hAnsi="Arial" w:cs="Arial"/>
                <w:i/>
              </w:rPr>
            </w:pPr>
          </w:p>
          <w:p w14:paraId="3D2A2DC9" w14:textId="77777777" w:rsidR="00C87444" w:rsidRDefault="00C87444">
            <w:pPr>
              <w:rPr>
                <w:rFonts w:ascii="Arial" w:eastAsia="Times New Roman" w:hAnsi="Arial" w:cs="Arial"/>
                <w:i/>
              </w:rPr>
            </w:pPr>
          </w:p>
          <w:p w14:paraId="162B40B4" w14:textId="77777777" w:rsidR="00C87444" w:rsidRDefault="00C87444">
            <w:pPr>
              <w:rPr>
                <w:rFonts w:ascii="Arial" w:eastAsia="Times New Roman" w:hAnsi="Arial" w:cs="Arial"/>
                <w:i/>
              </w:rPr>
            </w:pPr>
          </w:p>
          <w:p w14:paraId="145DF436" w14:textId="77777777" w:rsidR="00C87444" w:rsidRDefault="00C87444">
            <w:pPr>
              <w:rPr>
                <w:rFonts w:ascii="Arial" w:eastAsia="Times New Roman" w:hAnsi="Arial" w:cs="Arial"/>
                <w:i/>
              </w:rPr>
            </w:pPr>
          </w:p>
          <w:p w14:paraId="736E85A5" w14:textId="77777777" w:rsidR="00C87444" w:rsidRDefault="00C87444">
            <w:pPr>
              <w:rPr>
                <w:rFonts w:ascii="Arial" w:eastAsia="Times New Roman" w:hAnsi="Arial" w:cs="Arial"/>
                <w:i/>
              </w:rPr>
            </w:pPr>
          </w:p>
          <w:p w14:paraId="7209F676" w14:textId="77777777" w:rsidR="00C87444" w:rsidRDefault="00C87444">
            <w:pPr>
              <w:rPr>
                <w:rFonts w:ascii="Arial" w:eastAsia="Times New Roman" w:hAnsi="Arial" w:cs="Arial"/>
                <w:i/>
              </w:rPr>
            </w:pPr>
          </w:p>
          <w:p w14:paraId="0340FFE3" w14:textId="77777777" w:rsidR="00C87444" w:rsidRDefault="00C87444">
            <w:pPr>
              <w:rPr>
                <w:rFonts w:ascii="Arial" w:eastAsia="Times New Roman" w:hAnsi="Arial" w:cs="Arial"/>
                <w:i/>
              </w:rPr>
            </w:pPr>
          </w:p>
          <w:p w14:paraId="5AF66026" w14:textId="77777777" w:rsidR="00FD0F3F" w:rsidRDefault="00FD0F3F">
            <w:pPr>
              <w:rPr>
                <w:rFonts w:ascii="Arial" w:eastAsia="Times New Roman" w:hAnsi="Arial" w:cs="Arial"/>
                <w:i/>
              </w:rPr>
            </w:pPr>
          </w:p>
          <w:p w14:paraId="263C37EB" w14:textId="77777777" w:rsidR="00FD0F3F" w:rsidRDefault="00FD0F3F">
            <w:pPr>
              <w:rPr>
                <w:rFonts w:ascii="Arial" w:eastAsia="Times New Roman" w:hAnsi="Arial" w:cs="Arial"/>
                <w:i/>
              </w:rPr>
            </w:pPr>
          </w:p>
          <w:p w14:paraId="20410D4F" w14:textId="77777777" w:rsidR="00FD0F3F" w:rsidRDefault="00FD0F3F">
            <w:pPr>
              <w:rPr>
                <w:rFonts w:ascii="Arial" w:eastAsia="Times New Roman" w:hAnsi="Arial" w:cs="Arial"/>
                <w:i/>
              </w:rPr>
            </w:pPr>
          </w:p>
          <w:p w14:paraId="27E03C16" w14:textId="77777777" w:rsidR="00FD0F3F" w:rsidRDefault="00FD0F3F">
            <w:pPr>
              <w:rPr>
                <w:rFonts w:ascii="Arial" w:eastAsia="Times New Roman" w:hAnsi="Arial" w:cs="Arial"/>
                <w:i/>
              </w:rPr>
            </w:pPr>
          </w:p>
          <w:p w14:paraId="71067689" w14:textId="77777777" w:rsidR="00FD0F3F" w:rsidRDefault="00FD0F3F">
            <w:pPr>
              <w:rPr>
                <w:rFonts w:ascii="Arial" w:eastAsia="Times New Roman" w:hAnsi="Arial" w:cs="Arial"/>
                <w:i/>
              </w:rPr>
            </w:pPr>
          </w:p>
          <w:p w14:paraId="7D449715" w14:textId="77777777" w:rsidR="00FD0F3F" w:rsidRDefault="00FD0F3F">
            <w:pPr>
              <w:rPr>
                <w:rFonts w:ascii="Arial" w:eastAsia="Times New Roman" w:hAnsi="Arial" w:cs="Arial"/>
                <w:i/>
              </w:rPr>
            </w:pPr>
          </w:p>
          <w:p w14:paraId="795FC545" w14:textId="77777777" w:rsidR="00FD0F3F" w:rsidRDefault="00FD0F3F">
            <w:pPr>
              <w:rPr>
                <w:rFonts w:ascii="Arial" w:eastAsia="Times New Roman" w:hAnsi="Arial" w:cs="Arial"/>
                <w:i/>
              </w:rPr>
            </w:pPr>
          </w:p>
          <w:p w14:paraId="40059DBA" w14:textId="77777777" w:rsidR="00FD0F3F" w:rsidRDefault="00FD0F3F">
            <w:pPr>
              <w:rPr>
                <w:rFonts w:ascii="Arial" w:eastAsia="Times New Roman" w:hAnsi="Arial" w:cs="Arial"/>
                <w:i/>
              </w:rPr>
            </w:pPr>
          </w:p>
          <w:p w14:paraId="12B4708A" w14:textId="77777777" w:rsidR="00FD0F3F" w:rsidRDefault="00FD0F3F">
            <w:pPr>
              <w:rPr>
                <w:rFonts w:ascii="Arial" w:eastAsia="Times New Roman" w:hAnsi="Arial" w:cs="Arial"/>
                <w:i/>
              </w:rPr>
            </w:pPr>
          </w:p>
          <w:p w14:paraId="64C67426" w14:textId="77777777" w:rsidR="00FD0F3F" w:rsidRDefault="00FD0F3F">
            <w:pPr>
              <w:rPr>
                <w:rFonts w:ascii="Arial" w:eastAsia="Times New Roman" w:hAnsi="Arial" w:cs="Arial"/>
                <w:i/>
              </w:rPr>
            </w:pPr>
          </w:p>
          <w:p w14:paraId="6FA5540B" w14:textId="77777777" w:rsidR="00C87444" w:rsidRDefault="00C87444">
            <w:pPr>
              <w:rPr>
                <w:rFonts w:ascii="Arial" w:eastAsia="Times New Roman" w:hAnsi="Arial" w:cs="Arial"/>
                <w:i/>
              </w:rPr>
            </w:pPr>
          </w:p>
          <w:p w14:paraId="34962D20" w14:textId="77777777" w:rsidR="00C87444" w:rsidRDefault="00C87444">
            <w:pPr>
              <w:rPr>
                <w:rFonts w:ascii="Arial" w:eastAsia="Times New Roman" w:hAnsi="Arial" w:cs="Arial"/>
              </w:rPr>
            </w:pPr>
            <w:r>
              <w:rPr>
                <w:rFonts w:ascii="Arial" w:eastAsia="Times New Roman" w:hAnsi="Arial" w:cs="Arial"/>
                <w:i/>
              </w:rPr>
              <w:t>Minimum qualifications for reviewers</w:t>
            </w:r>
            <w:r>
              <w:rPr>
                <w:rFonts w:ascii="Arial" w:eastAsia="Times New Roman" w:hAnsi="Arial" w:cs="Arial"/>
              </w:rPr>
              <w:t>:</w:t>
            </w:r>
          </w:p>
          <w:p w14:paraId="004DEA3D"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eastAsia="Times New Roman" w:hAnsi="Arial" w:cs="Arial"/>
              </w:rPr>
              <w:t>[Need to get from ESI, but I believe it would be the same as M/S]</w:t>
            </w:r>
          </w:p>
          <w:p w14:paraId="481FCFD2" w14:textId="77777777" w:rsidR="00C87444" w:rsidRDefault="00C87444">
            <w:pPr>
              <w:rPr>
                <w:rFonts w:ascii="Arial" w:eastAsia="Times New Roman" w:hAnsi="Arial" w:cs="Arial"/>
              </w:rPr>
            </w:pPr>
          </w:p>
          <w:p w14:paraId="077484D5" w14:textId="77777777" w:rsidR="00C87444" w:rsidRDefault="00C87444">
            <w:pPr>
              <w:rPr>
                <w:rFonts w:ascii="Arial" w:eastAsia="Times New Roman" w:hAnsi="Arial" w:cs="Arial"/>
              </w:rPr>
            </w:pPr>
          </w:p>
          <w:p w14:paraId="1C18A391" w14:textId="77777777" w:rsidR="00C87444" w:rsidRDefault="00C87444">
            <w:pPr>
              <w:rPr>
                <w:rFonts w:ascii="Arial" w:eastAsia="Times New Roman" w:hAnsi="Arial" w:cs="Arial"/>
              </w:rPr>
            </w:pPr>
          </w:p>
          <w:p w14:paraId="7847B063" w14:textId="77777777" w:rsidR="00C87444" w:rsidRDefault="00C87444">
            <w:pPr>
              <w:rPr>
                <w:rFonts w:ascii="Arial" w:eastAsia="Times New Roman" w:hAnsi="Arial" w:cs="Arial"/>
              </w:rPr>
            </w:pPr>
          </w:p>
          <w:p w14:paraId="7146C770" w14:textId="77777777" w:rsidR="00C87444" w:rsidRDefault="00C87444">
            <w:pPr>
              <w:rPr>
                <w:rFonts w:ascii="Arial" w:eastAsia="Times New Roman" w:hAnsi="Arial" w:cs="Arial"/>
              </w:rPr>
            </w:pPr>
          </w:p>
          <w:p w14:paraId="435E0F18" w14:textId="77777777" w:rsidR="00C87444" w:rsidRDefault="00C87444">
            <w:pPr>
              <w:rPr>
                <w:rFonts w:ascii="Arial" w:eastAsia="Times New Roman" w:hAnsi="Arial" w:cs="Arial"/>
              </w:rPr>
            </w:pPr>
          </w:p>
          <w:p w14:paraId="0A75EBDB" w14:textId="77777777" w:rsidR="00C87444" w:rsidRDefault="00C87444">
            <w:pPr>
              <w:rPr>
                <w:rFonts w:ascii="Arial" w:eastAsia="Times New Roman" w:hAnsi="Arial" w:cs="Arial"/>
              </w:rPr>
            </w:pPr>
          </w:p>
          <w:p w14:paraId="68E5E5C1" w14:textId="77777777" w:rsidR="00C87444" w:rsidRDefault="00C87444">
            <w:pPr>
              <w:rPr>
                <w:rFonts w:ascii="Arial" w:eastAsia="Times New Roman" w:hAnsi="Arial" w:cs="Arial"/>
              </w:rPr>
            </w:pPr>
          </w:p>
          <w:p w14:paraId="619A175F" w14:textId="77777777" w:rsidR="00FD0F3F" w:rsidRDefault="00FD0F3F">
            <w:pPr>
              <w:rPr>
                <w:rFonts w:ascii="Arial" w:eastAsia="Times New Roman" w:hAnsi="Arial" w:cs="Arial"/>
              </w:rPr>
            </w:pPr>
          </w:p>
          <w:p w14:paraId="07041D2E" w14:textId="77777777" w:rsidR="00FD0F3F" w:rsidRDefault="00FD0F3F">
            <w:pPr>
              <w:rPr>
                <w:rFonts w:ascii="Arial" w:eastAsia="Times New Roman" w:hAnsi="Arial" w:cs="Arial"/>
              </w:rPr>
            </w:pPr>
          </w:p>
          <w:p w14:paraId="0B3A5F86" w14:textId="77777777" w:rsidR="00FD0F3F" w:rsidRDefault="00FD0F3F">
            <w:pPr>
              <w:rPr>
                <w:rFonts w:ascii="Arial" w:eastAsia="Times New Roman" w:hAnsi="Arial" w:cs="Arial"/>
              </w:rPr>
            </w:pPr>
          </w:p>
          <w:p w14:paraId="1D2A54A3" w14:textId="77777777" w:rsidR="00FD0F3F" w:rsidRDefault="00FD0F3F">
            <w:pPr>
              <w:rPr>
                <w:rFonts w:ascii="Arial" w:eastAsia="Times New Roman" w:hAnsi="Arial" w:cs="Arial"/>
              </w:rPr>
            </w:pPr>
          </w:p>
          <w:p w14:paraId="4F83CADD" w14:textId="77777777" w:rsidR="00FD0F3F" w:rsidRDefault="00FD0F3F">
            <w:pPr>
              <w:rPr>
                <w:rFonts w:ascii="Arial" w:eastAsia="Times New Roman" w:hAnsi="Arial" w:cs="Arial"/>
              </w:rPr>
            </w:pPr>
          </w:p>
          <w:p w14:paraId="56AC1BF7" w14:textId="77777777" w:rsidR="00C87444" w:rsidRDefault="00C87444">
            <w:pPr>
              <w:rPr>
                <w:rFonts w:ascii="Arial" w:eastAsia="Times New Roman" w:hAnsi="Arial" w:cs="Arial"/>
              </w:rPr>
            </w:pPr>
          </w:p>
          <w:p w14:paraId="23B9C06D" w14:textId="77777777" w:rsidR="00C87444" w:rsidRDefault="00C87444">
            <w:pPr>
              <w:rPr>
                <w:rFonts w:ascii="Arial" w:eastAsia="Times New Roman" w:hAnsi="Arial" w:cs="Arial"/>
              </w:rPr>
            </w:pPr>
            <w:r>
              <w:rPr>
                <w:rFonts w:ascii="Arial" w:eastAsia="Times New Roman" w:hAnsi="Arial" w:cs="Arial"/>
                <w:i/>
              </w:rPr>
              <w:t>Minimum standards to issue a denial</w:t>
            </w:r>
            <w:r>
              <w:rPr>
                <w:rFonts w:ascii="Arial" w:eastAsia="Times New Roman" w:hAnsi="Arial" w:cs="Arial"/>
              </w:rPr>
              <w:t>:</w:t>
            </w:r>
          </w:p>
          <w:p w14:paraId="2817EC71" w14:textId="77777777" w:rsidR="00C87444" w:rsidRDefault="00C87444">
            <w:pPr>
              <w:rPr>
                <w:rFonts w:ascii="Arial" w:eastAsia="Times New Roman" w:hAnsi="Arial" w:cs="Arial"/>
              </w:rPr>
            </w:pPr>
          </w:p>
          <w:p w14:paraId="38D67288" w14:textId="77777777" w:rsidR="00C87444" w:rsidRDefault="00C87444">
            <w:pPr>
              <w:rPr>
                <w:rFonts w:ascii="Arial" w:eastAsia="Times New Roman" w:hAnsi="Arial" w:cs="Arial"/>
              </w:rPr>
            </w:pPr>
            <w:r>
              <w:rPr>
                <w:rFonts w:ascii="Arial" w:eastAsia="Times New Roman" w:hAnsi="Arial" w:cs="Arial"/>
              </w:rPr>
              <w:t>Same as M/S</w:t>
            </w:r>
          </w:p>
        </w:tc>
      </w:tr>
      <w:tr w:rsidR="00C87444" w14:paraId="6D806B6F" w14:textId="77777777" w:rsidTr="00C87444">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7E0AD" w14:textId="77777777" w:rsidR="00C87444" w:rsidRDefault="00C87444">
            <w:pPr>
              <w:rPr>
                <w:rFonts w:ascii="Arial" w:eastAsia="Times New Roman" w:hAnsi="Arial" w:cs="Arial"/>
              </w:rPr>
            </w:pPr>
            <w:r>
              <w:rPr>
                <w:rFonts w:ascii="Arial" w:eastAsia="Times New Roman" w:hAnsi="Arial" w:cs="Arial"/>
                <w:b/>
                <w:i/>
              </w:rPr>
              <w:t>Step 4(b) : Identify and define the factors and processes that are used to monitor and evaluate the application of Step Therapy for M/S benefits and MH/SUD benefits</w:t>
            </w:r>
            <w:r>
              <w:rPr>
                <w:rFonts w:ascii="Arial" w:eastAsia="Times New Roman" w:hAnsi="Arial" w:cs="Arial"/>
              </w:rPr>
              <w:t>:</w:t>
            </w:r>
          </w:p>
          <w:p w14:paraId="1A133261" w14:textId="77777777" w:rsidR="00C87444" w:rsidRDefault="00C87444">
            <w:pPr>
              <w:rPr>
                <w:rFonts w:ascii="Arial" w:eastAsia="Times New Roman" w:hAnsi="Arial" w:cs="Arial"/>
                <w:b/>
                <w:i/>
              </w:rPr>
            </w:pPr>
          </w:p>
        </w:tc>
      </w:tr>
      <w:tr w:rsidR="00C87444" w14:paraId="3447B593" w14:textId="77777777" w:rsidTr="00C87444">
        <w:trPr>
          <w:trHeight w:val="4400"/>
        </w:trPr>
        <w:tc>
          <w:tcPr>
            <w:tcW w:w="2500" w:type="pct"/>
            <w:tcBorders>
              <w:top w:val="single" w:sz="4" w:space="0" w:color="auto"/>
              <w:left w:val="single" w:sz="4" w:space="0" w:color="auto"/>
              <w:bottom w:val="single" w:sz="4" w:space="0" w:color="auto"/>
              <w:right w:val="single" w:sz="4" w:space="0" w:color="auto"/>
            </w:tcBorders>
          </w:tcPr>
          <w:p w14:paraId="72A66401" w14:textId="77777777" w:rsidR="00C87444" w:rsidRDefault="00C87444">
            <w:pPr>
              <w:pStyle w:val="ListParagraph"/>
              <w:rPr>
                <w:rFonts w:ascii="Arial" w:eastAsia="Times New Roman" w:hAnsi="Arial" w:cs="Arial"/>
              </w:rPr>
            </w:pPr>
          </w:p>
          <w:p w14:paraId="74575CBE"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hAnsi="Arial" w:cs="Arial"/>
              </w:rPr>
              <w:t>To ensure that the processes, strategies, evidentiary standards, and other factors used to apply prior authorization to MH/SUD drugs, in operation, are comparable to, and are applied no more stringently than, the processes, strategies, evidentiary standards, and other factors used to apply step therapy to M/S drugs, step therapy for prescription drugs is analyzed semi-annually. One analysis we completed was a review of the percentage of drugs in the M/S and MH/SUD classifications that are subject to step therapy. See table below for M/S results.</w:t>
            </w:r>
          </w:p>
          <w:tbl>
            <w:tblPr>
              <w:tblStyle w:val="TableGrid"/>
              <w:tblW w:w="0" w:type="auto"/>
              <w:tblLook w:val="04A0" w:firstRow="1" w:lastRow="0" w:firstColumn="1" w:lastColumn="0" w:noHBand="0" w:noVBand="1"/>
            </w:tblPr>
            <w:tblGrid>
              <w:gridCol w:w="2353"/>
              <w:gridCol w:w="2096"/>
            </w:tblGrid>
            <w:tr w:rsidR="00C87444" w14:paraId="19BA1530" w14:textId="77777777">
              <w:trPr>
                <w:trHeight w:val="741"/>
              </w:trPr>
              <w:tc>
                <w:tcPr>
                  <w:tcW w:w="9314" w:type="dxa"/>
                  <w:gridSpan w:val="2"/>
                  <w:tcBorders>
                    <w:top w:val="single" w:sz="4" w:space="0" w:color="auto"/>
                    <w:left w:val="single" w:sz="4" w:space="0" w:color="auto"/>
                    <w:bottom w:val="single" w:sz="4" w:space="0" w:color="auto"/>
                    <w:right w:val="single" w:sz="4" w:space="0" w:color="auto"/>
                  </w:tcBorders>
                  <w:hideMark/>
                </w:tcPr>
                <w:p w14:paraId="568DD1E5" w14:textId="77777777" w:rsidR="00C87444" w:rsidRDefault="00C87444">
                  <w:pPr>
                    <w:pStyle w:val="BodyText"/>
                    <w:spacing w:before="223" w:line="264" w:lineRule="auto"/>
                    <w:jc w:val="center"/>
                    <w:rPr>
                      <w:rFonts w:ascii="Arial" w:eastAsiaTheme="minorHAnsi" w:hAnsi="Arial" w:cs="Arial"/>
                      <w:sz w:val="22"/>
                      <w:szCs w:val="22"/>
                    </w:rPr>
                  </w:pPr>
                  <w:r>
                    <w:rPr>
                      <w:rFonts w:ascii="Arial" w:hAnsi="Arial" w:cs="Arial"/>
                      <w:sz w:val="22"/>
                      <w:szCs w:val="22"/>
                    </w:rPr>
                    <w:t>M/S ST Requirements</w:t>
                  </w:r>
                </w:p>
              </w:tc>
            </w:tr>
            <w:tr w:rsidR="00C87444" w14:paraId="6ADA0C0D"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12CB817F"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Total M/S Drugs</w:t>
                  </w:r>
                </w:p>
              </w:tc>
              <w:tc>
                <w:tcPr>
                  <w:tcW w:w="4657" w:type="dxa"/>
                  <w:tcBorders>
                    <w:top w:val="single" w:sz="4" w:space="0" w:color="auto"/>
                    <w:left w:val="single" w:sz="4" w:space="0" w:color="auto"/>
                    <w:bottom w:val="single" w:sz="4" w:space="0" w:color="auto"/>
                    <w:right w:val="single" w:sz="4" w:space="0" w:color="auto"/>
                  </w:tcBorders>
                  <w:hideMark/>
                </w:tcPr>
                <w:p w14:paraId="24339B50"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8,742</w:t>
                  </w:r>
                </w:p>
              </w:tc>
            </w:tr>
            <w:tr w:rsidR="00C87444" w14:paraId="799C3B06"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4A0D2D35"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Total M/S Drugs Requiring ST</w:t>
                  </w:r>
                </w:p>
              </w:tc>
              <w:tc>
                <w:tcPr>
                  <w:tcW w:w="4657" w:type="dxa"/>
                  <w:tcBorders>
                    <w:top w:val="single" w:sz="4" w:space="0" w:color="auto"/>
                    <w:left w:val="single" w:sz="4" w:space="0" w:color="auto"/>
                    <w:bottom w:val="single" w:sz="4" w:space="0" w:color="auto"/>
                    <w:right w:val="single" w:sz="4" w:space="0" w:color="auto"/>
                  </w:tcBorders>
                  <w:hideMark/>
                </w:tcPr>
                <w:p w14:paraId="768C260A"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285</w:t>
                  </w:r>
                </w:p>
              </w:tc>
            </w:tr>
            <w:tr w:rsidR="00C87444" w14:paraId="469C2DD5" w14:textId="77777777">
              <w:trPr>
                <w:trHeight w:val="742"/>
              </w:trPr>
              <w:tc>
                <w:tcPr>
                  <w:tcW w:w="4657" w:type="dxa"/>
                  <w:tcBorders>
                    <w:top w:val="single" w:sz="4" w:space="0" w:color="auto"/>
                    <w:left w:val="single" w:sz="4" w:space="0" w:color="auto"/>
                    <w:bottom w:val="single" w:sz="4" w:space="0" w:color="auto"/>
                    <w:right w:val="single" w:sz="4" w:space="0" w:color="auto"/>
                  </w:tcBorders>
                  <w:hideMark/>
                </w:tcPr>
                <w:p w14:paraId="79915CDF"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ST Required Rate</w:t>
                  </w:r>
                </w:p>
              </w:tc>
              <w:tc>
                <w:tcPr>
                  <w:tcW w:w="4657" w:type="dxa"/>
                  <w:tcBorders>
                    <w:top w:val="single" w:sz="4" w:space="0" w:color="auto"/>
                    <w:left w:val="single" w:sz="4" w:space="0" w:color="auto"/>
                    <w:bottom w:val="single" w:sz="4" w:space="0" w:color="auto"/>
                    <w:right w:val="single" w:sz="4" w:space="0" w:color="auto"/>
                  </w:tcBorders>
                  <w:hideMark/>
                </w:tcPr>
                <w:p w14:paraId="58A4D56A"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3.3%</w:t>
                  </w:r>
                </w:p>
              </w:tc>
            </w:tr>
          </w:tbl>
          <w:p w14:paraId="7097148D" w14:textId="77777777" w:rsidR="00C87444" w:rsidRDefault="00C87444">
            <w:pPr>
              <w:rPr>
                <w:rFonts w:ascii="Arial" w:eastAsia="Times New Roman" w:hAnsi="Arial" w:cs="Arial"/>
              </w:rPr>
            </w:pPr>
          </w:p>
          <w:p w14:paraId="6EFC4CB2"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eastAsia="Times New Roman" w:hAnsi="Arial" w:cs="Arial"/>
              </w:rPr>
              <w:t>We also completed an analysis of the turnaround times for ST requests to be issued either an approval or denial. On average, the turnaround time for M/S drugs was less than 1 day.</w:t>
            </w:r>
          </w:p>
          <w:p w14:paraId="60174305" w14:textId="77777777" w:rsidR="00C87444" w:rsidRDefault="00C87444">
            <w:pPr>
              <w:pStyle w:val="ListParagraph"/>
              <w:rPr>
                <w:rFonts w:ascii="Arial" w:eastAsia="Times New Roman" w:hAnsi="Arial" w:cs="Arial"/>
              </w:rPr>
            </w:pPr>
          </w:p>
          <w:p w14:paraId="7773087B"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hAnsi="Arial" w:cs="Arial"/>
              </w:rPr>
              <w:t xml:space="preserve">We also completed an analysis of denial rates for requests for Step Therapy in </w:t>
            </w:r>
            <w:proofErr w:type="gramStart"/>
            <w:r>
              <w:rPr>
                <w:rFonts w:ascii="Arial" w:hAnsi="Arial" w:cs="Arial"/>
              </w:rPr>
              <w:t>calendar</w:t>
            </w:r>
            <w:proofErr w:type="gramEnd"/>
            <w:r>
              <w:rPr>
                <w:rFonts w:ascii="Arial" w:hAnsi="Arial" w:cs="Arial"/>
              </w:rPr>
              <w:t xml:space="preserve"> year 2022. Results can be seen in the table below. </w:t>
            </w:r>
          </w:p>
          <w:p w14:paraId="13194595" w14:textId="77777777" w:rsidR="00C87444" w:rsidRDefault="00C87444">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020"/>
              <w:gridCol w:w="1709"/>
            </w:tblGrid>
            <w:tr w:rsidR="00C87444" w14:paraId="4AB2CF5C"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4B8F1203" w14:textId="77777777" w:rsidR="00C87444" w:rsidRDefault="00C87444">
                  <w:pPr>
                    <w:pStyle w:val="ListParagraph"/>
                    <w:ind w:left="0"/>
                    <w:jc w:val="center"/>
                    <w:rPr>
                      <w:rFonts w:ascii="Arial" w:eastAsia="Times New Roman" w:hAnsi="Arial" w:cs="Arial"/>
                    </w:rPr>
                  </w:pPr>
                  <w:r>
                    <w:rPr>
                      <w:rFonts w:ascii="Arial" w:eastAsia="Times New Roman" w:hAnsi="Arial" w:cs="Arial"/>
                    </w:rPr>
                    <w:t>Global M/S ST Analysis</w:t>
                  </w:r>
                </w:p>
              </w:tc>
            </w:tr>
            <w:tr w:rsidR="00C87444" w14:paraId="04A3B9C6" w14:textId="77777777">
              <w:tc>
                <w:tcPr>
                  <w:tcW w:w="4390" w:type="dxa"/>
                  <w:tcBorders>
                    <w:top w:val="single" w:sz="4" w:space="0" w:color="auto"/>
                    <w:left w:val="single" w:sz="4" w:space="0" w:color="auto"/>
                    <w:bottom w:val="single" w:sz="4" w:space="0" w:color="auto"/>
                    <w:right w:val="single" w:sz="4" w:space="0" w:color="auto"/>
                  </w:tcBorders>
                  <w:hideMark/>
                </w:tcPr>
                <w:p w14:paraId="48C9E732" w14:textId="77777777" w:rsidR="00C87444" w:rsidRDefault="00C87444">
                  <w:pPr>
                    <w:pStyle w:val="ListParagraph"/>
                    <w:ind w:left="0"/>
                    <w:rPr>
                      <w:rFonts w:ascii="Arial" w:eastAsia="Times New Roman" w:hAnsi="Arial" w:cs="Arial"/>
                    </w:rPr>
                  </w:pPr>
                  <w:r>
                    <w:rPr>
                      <w:rFonts w:ascii="Arial" w:eastAsia="Times New Roman" w:hAnsi="Arial" w:cs="Arial"/>
                    </w:rPr>
                    <w:t>Total ST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4B73CCA" w14:textId="77777777" w:rsidR="00C87444" w:rsidRDefault="00C87444">
                  <w:pPr>
                    <w:pStyle w:val="ListParagraph"/>
                    <w:ind w:left="0"/>
                    <w:jc w:val="center"/>
                    <w:rPr>
                      <w:rFonts w:ascii="Arial" w:eastAsia="Times New Roman" w:hAnsi="Arial" w:cs="Arial"/>
                    </w:rPr>
                  </w:pPr>
                  <w:r>
                    <w:rPr>
                      <w:rFonts w:ascii="Arial" w:eastAsia="Times New Roman" w:hAnsi="Arial" w:cs="Arial"/>
                    </w:rPr>
                    <w:t>900</w:t>
                  </w:r>
                </w:p>
              </w:tc>
            </w:tr>
            <w:tr w:rsidR="00C87444" w14:paraId="086195E4" w14:textId="77777777">
              <w:tc>
                <w:tcPr>
                  <w:tcW w:w="4390" w:type="dxa"/>
                  <w:tcBorders>
                    <w:top w:val="single" w:sz="4" w:space="0" w:color="auto"/>
                    <w:left w:val="single" w:sz="4" w:space="0" w:color="auto"/>
                    <w:bottom w:val="single" w:sz="4" w:space="0" w:color="auto"/>
                    <w:right w:val="single" w:sz="4" w:space="0" w:color="auto"/>
                  </w:tcBorders>
                  <w:hideMark/>
                </w:tcPr>
                <w:p w14:paraId="181A90BD" w14:textId="77777777" w:rsidR="00C87444" w:rsidRDefault="00C87444">
                  <w:pPr>
                    <w:pStyle w:val="ListParagraph"/>
                    <w:ind w:left="0"/>
                    <w:rPr>
                      <w:rFonts w:ascii="Arial" w:eastAsia="Times New Roman" w:hAnsi="Arial" w:cs="Arial"/>
                    </w:rPr>
                  </w:pPr>
                  <w:r>
                    <w:rPr>
                      <w:rFonts w:ascii="Arial" w:eastAsia="Times New Roman" w:hAnsi="Arial" w:cs="Arial"/>
                    </w:rPr>
                    <w:t>Total ST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4E2F51CA" w14:textId="77777777" w:rsidR="00C87444" w:rsidRDefault="00C87444">
                  <w:pPr>
                    <w:pStyle w:val="ListParagraph"/>
                    <w:ind w:left="0"/>
                    <w:jc w:val="center"/>
                    <w:rPr>
                      <w:rFonts w:ascii="Arial" w:eastAsia="Times New Roman" w:hAnsi="Arial" w:cs="Arial"/>
                    </w:rPr>
                  </w:pPr>
                  <w:r>
                    <w:rPr>
                      <w:rFonts w:ascii="Arial" w:eastAsia="Times New Roman" w:hAnsi="Arial" w:cs="Arial"/>
                    </w:rPr>
                    <w:t>807</w:t>
                  </w:r>
                </w:p>
              </w:tc>
            </w:tr>
            <w:tr w:rsidR="00C87444" w14:paraId="1E10EADF" w14:textId="77777777">
              <w:tc>
                <w:tcPr>
                  <w:tcW w:w="4390" w:type="dxa"/>
                  <w:tcBorders>
                    <w:top w:val="single" w:sz="4" w:space="0" w:color="auto"/>
                    <w:left w:val="single" w:sz="4" w:space="0" w:color="auto"/>
                    <w:bottom w:val="single" w:sz="4" w:space="0" w:color="auto"/>
                    <w:right w:val="single" w:sz="4" w:space="0" w:color="auto"/>
                  </w:tcBorders>
                  <w:hideMark/>
                </w:tcPr>
                <w:p w14:paraId="22C007B3" w14:textId="77777777" w:rsidR="00C87444" w:rsidRDefault="00C87444">
                  <w:pPr>
                    <w:pStyle w:val="ListParagraph"/>
                    <w:ind w:left="0"/>
                    <w:rPr>
                      <w:rFonts w:ascii="Arial" w:eastAsia="Times New Roman" w:hAnsi="Arial" w:cs="Arial"/>
                    </w:rPr>
                  </w:pPr>
                  <w:r>
                    <w:rPr>
                      <w:rFonts w:ascii="Arial" w:eastAsia="Times New Roman" w:hAnsi="Arial" w:cs="Arial"/>
                    </w:rPr>
                    <w:t>Total ST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3BF41686" w14:textId="77777777" w:rsidR="00C87444" w:rsidRDefault="00C87444">
                  <w:pPr>
                    <w:pStyle w:val="ListParagraph"/>
                    <w:ind w:left="0"/>
                    <w:jc w:val="center"/>
                    <w:rPr>
                      <w:rFonts w:ascii="Arial" w:eastAsia="Times New Roman" w:hAnsi="Arial" w:cs="Arial"/>
                    </w:rPr>
                  </w:pPr>
                  <w:r>
                    <w:rPr>
                      <w:rFonts w:ascii="Arial" w:eastAsia="Times New Roman" w:hAnsi="Arial" w:cs="Arial"/>
                    </w:rPr>
                    <w:t>93</w:t>
                  </w:r>
                </w:p>
              </w:tc>
            </w:tr>
            <w:tr w:rsidR="00C87444" w14:paraId="0A59DDBE" w14:textId="77777777">
              <w:tc>
                <w:tcPr>
                  <w:tcW w:w="4390" w:type="dxa"/>
                  <w:tcBorders>
                    <w:top w:val="single" w:sz="4" w:space="0" w:color="auto"/>
                    <w:left w:val="single" w:sz="4" w:space="0" w:color="auto"/>
                    <w:bottom w:val="single" w:sz="4" w:space="0" w:color="auto"/>
                    <w:right w:val="single" w:sz="4" w:space="0" w:color="auto"/>
                  </w:tcBorders>
                  <w:hideMark/>
                </w:tcPr>
                <w:p w14:paraId="0A0F3ED6" w14:textId="77777777" w:rsidR="00C87444" w:rsidRDefault="00C87444">
                  <w:pPr>
                    <w:pStyle w:val="ListParagraph"/>
                    <w:ind w:left="0"/>
                    <w:rPr>
                      <w:rFonts w:ascii="Arial" w:eastAsia="Times New Roman" w:hAnsi="Arial" w:cs="Arial"/>
                    </w:rPr>
                  </w:pPr>
                  <w:r>
                    <w:rPr>
                      <w:rFonts w:ascii="Arial" w:eastAsia="Times New Roman" w:hAnsi="Arial" w:cs="Arial"/>
                    </w:rPr>
                    <w:t>ST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5EA58B5" w14:textId="77777777" w:rsidR="00C87444" w:rsidRDefault="00C87444">
                  <w:pPr>
                    <w:pStyle w:val="ListParagraph"/>
                    <w:ind w:left="0"/>
                    <w:jc w:val="center"/>
                    <w:rPr>
                      <w:rFonts w:ascii="Arial" w:eastAsia="Times New Roman" w:hAnsi="Arial" w:cs="Arial"/>
                    </w:rPr>
                  </w:pPr>
                  <w:r>
                    <w:rPr>
                      <w:rFonts w:ascii="Arial" w:eastAsia="Times New Roman" w:hAnsi="Arial" w:cs="Arial"/>
                    </w:rPr>
                    <w:t>89.7%</w:t>
                  </w:r>
                </w:p>
              </w:tc>
            </w:tr>
            <w:tr w:rsidR="00C87444" w14:paraId="24F6ADD6" w14:textId="77777777">
              <w:tc>
                <w:tcPr>
                  <w:tcW w:w="4390" w:type="dxa"/>
                  <w:tcBorders>
                    <w:top w:val="single" w:sz="4" w:space="0" w:color="auto"/>
                    <w:left w:val="single" w:sz="4" w:space="0" w:color="auto"/>
                    <w:bottom w:val="single" w:sz="4" w:space="0" w:color="auto"/>
                    <w:right w:val="single" w:sz="4" w:space="0" w:color="auto"/>
                  </w:tcBorders>
                  <w:hideMark/>
                </w:tcPr>
                <w:p w14:paraId="349C682A" w14:textId="77777777" w:rsidR="00C87444" w:rsidRDefault="00C87444">
                  <w:pPr>
                    <w:pStyle w:val="ListParagraph"/>
                    <w:ind w:left="0"/>
                    <w:rPr>
                      <w:rFonts w:ascii="Arial" w:eastAsia="Times New Roman" w:hAnsi="Arial" w:cs="Arial"/>
                    </w:rPr>
                  </w:pPr>
                  <w:r>
                    <w:rPr>
                      <w:rFonts w:ascii="Arial" w:eastAsia="Times New Roman" w:hAnsi="Arial" w:cs="Arial"/>
                    </w:rPr>
                    <w:t>ST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F54D830" w14:textId="77777777" w:rsidR="00C87444" w:rsidRDefault="00C87444">
                  <w:pPr>
                    <w:pStyle w:val="ListParagraph"/>
                    <w:ind w:left="0"/>
                    <w:jc w:val="center"/>
                    <w:rPr>
                      <w:rFonts w:ascii="Arial" w:eastAsia="Times New Roman" w:hAnsi="Arial" w:cs="Arial"/>
                    </w:rPr>
                  </w:pPr>
                  <w:r>
                    <w:rPr>
                      <w:rFonts w:ascii="Arial" w:eastAsia="Times New Roman" w:hAnsi="Arial" w:cs="Arial"/>
                    </w:rPr>
                    <w:t>10.3%</w:t>
                  </w:r>
                </w:p>
              </w:tc>
            </w:tr>
          </w:tbl>
          <w:p w14:paraId="2677C316" w14:textId="77777777" w:rsidR="00C87444" w:rsidRDefault="00C87444">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042"/>
              <w:gridCol w:w="1687"/>
            </w:tblGrid>
            <w:tr w:rsidR="00C87444" w14:paraId="6CAAA10C"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5B83DC63" w14:textId="77777777" w:rsidR="00C87444" w:rsidRDefault="00C87444">
                  <w:pPr>
                    <w:pStyle w:val="ListParagraph"/>
                    <w:ind w:left="0"/>
                    <w:jc w:val="center"/>
                    <w:rPr>
                      <w:rFonts w:ascii="Arial" w:eastAsia="Times New Roman" w:hAnsi="Arial" w:cs="Arial"/>
                    </w:rPr>
                  </w:pPr>
                  <w:r>
                    <w:rPr>
                      <w:rFonts w:ascii="Arial" w:eastAsia="Times New Roman" w:hAnsi="Arial" w:cs="Arial"/>
                    </w:rPr>
                    <w:t>MD M/S ST Analysis</w:t>
                  </w:r>
                </w:p>
              </w:tc>
            </w:tr>
            <w:tr w:rsidR="00C87444" w14:paraId="38E324D1" w14:textId="77777777">
              <w:tc>
                <w:tcPr>
                  <w:tcW w:w="4390" w:type="dxa"/>
                  <w:tcBorders>
                    <w:top w:val="single" w:sz="4" w:space="0" w:color="auto"/>
                    <w:left w:val="single" w:sz="4" w:space="0" w:color="auto"/>
                    <w:bottom w:val="single" w:sz="4" w:space="0" w:color="auto"/>
                    <w:right w:val="single" w:sz="4" w:space="0" w:color="auto"/>
                  </w:tcBorders>
                  <w:hideMark/>
                </w:tcPr>
                <w:p w14:paraId="68F13674" w14:textId="77777777" w:rsidR="00C87444" w:rsidRDefault="00C87444">
                  <w:pPr>
                    <w:pStyle w:val="ListParagraph"/>
                    <w:ind w:left="0"/>
                    <w:rPr>
                      <w:rFonts w:ascii="Arial" w:eastAsia="Times New Roman" w:hAnsi="Arial" w:cs="Arial"/>
                    </w:rPr>
                  </w:pPr>
                  <w:bookmarkStart w:id="37" w:name="_Hlk156570185"/>
                  <w:r>
                    <w:rPr>
                      <w:rFonts w:ascii="Arial" w:eastAsia="Times New Roman" w:hAnsi="Arial" w:cs="Arial"/>
                    </w:rPr>
                    <w:t>Total ST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8C2EBF7" w14:textId="77777777" w:rsidR="00C87444" w:rsidRDefault="00C87444">
                  <w:pPr>
                    <w:pStyle w:val="ListParagraph"/>
                    <w:ind w:left="0"/>
                    <w:jc w:val="center"/>
                    <w:rPr>
                      <w:rFonts w:ascii="Arial" w:eastAsia="Times New Roman" w:hAnsi="Arial" w:cs="Arial"/>
                    </w:rPr>
                  </w:pPr>
                  <w:r>
                    <w:rPr>
                      <w:rFonts w:ascii="Arial" w:eastAsia="Times New Roman" w:hAnsi="Arial" w:cs="Arial"/>
                    </w:rPr>
                    <w:t>2</w:t>
                  </w:r>
                </w:p>
              </w:tc>
            </w:tr>
            <w:tr w:rsidR="00C87444" w14:paraId="28C62A2D" w14:textId="77777777">
              <w:tc>
                <w:tcPr>
                  <w:tcW w:w="4390" w:type="dxa"/>
                  <w:tcBorders>
                    <w:top w:val="single" w:sz="4" w:space="0" w:color="auto"/>
                    <w:left w:val="single" w:sz="4" w:space="0" w:color="auto"/>
                    <w:bottom w:val="single" w:sz="4" w:space="0" w:color="auto"/>
                    <w:right w:val="single" w:sz="4" w:space="0" w:color="auto"/>
                  </w:tcBorders>
                  <w:hideMark/>
                </w:tcPr>
                <w:p w14:paraId="7D0847B4" w14:textId="77777777" w:rsidR="00C87444" w:rsidRDefault="00C87444">
                  <w:pPr>
                    <w:pStyle w:val="ListParagraph"/>
                    <w:ind w:left="0"/>
                    <w:rPr>
                      <w:rFonts w:ascii="Arial" w:eastAsia="Times New Roman" w:hAnsi="Arial" w:cs="Arial"/>
                    </w:rPr>
                  </w:pPr>
                  <w:r>
                    <w:rPr>
                      <w:rFonts w:ascii="Arial" w:eastAsia="Times New Roman" w:hAnsi="Arial" w:cs="Arial"/>
                    </w:rPr>
                    <w:t>Total ST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41B3C62B" w14:textId="77777777" w:rsidR="00C87444" w:rsidRDefault="00C87444">
                  <w:pPr>
                    <w:pStyle w:val="ListParagraph"/>
                    <w:ind w:left="0"/>
                    <w:jc w:val="center"/>
                    <w:rPr>
                      <w:rFonts w:ascii="Arial" w:eastAsia="Times New Roman" w:hAnsi="Arial" w:cs="Arial"/>
                    </w:rPr>
                  </w:pPr>
                  <w:r>
                    <w:rPr>
                      <w:rFonts w:ascii="Arial" w:eastAsia="Times New Roman" w:hAnsi="Arial" w:cs="Arial"/>
                    </w:rPr>
                    <w:t>2</w:t>
                  </w:r>
                </w:p>
              </w:tc>
            </w:tr>
            <w:tr w:rsidR="00C87444" w14:paraId="4262A18A" w14:textId="77777777">
              <w:tc>
                <w:tcPr>
                  <w:tcW w:w="4390" w:type="dxa"/>
                  <w:tcBorders>
                    <w:top w:val="single" w:sz="4" w:space="0" w:color="auto"/>
                    <w:left w:val="single" w:sz="4" w:space="0" w:color="auto"/>
                    <w:bottom w:val="single" w:sz="4" w:space="0" w:color="auto"/>
                    <w:right w:val="single" w:sz="4" w:space="0" w:color="auto"/>
                  </w:tcBorders>
                  <w:hideMark/>
                </w:tcPr>
                <w:p w14:paraId="554CCFEC" w14:textId="77777777" w:rsidR="00C87444" w:rsidRDefault="00C87444">
                  <w:pPr>
                    <w:pStyle w:val="ListParagraph"/>
                    <w:ind w:left="0"/>
                    <w:rPr>
                      <w:rFonts w:ascii="Arial" w:eastAsia="Times New Roman" w:hAnsi="Arial" w:cs="Arial"/>
                    </w:rPr>
                  </w:pPr>
                  <w:r>
                    <w:rPr>
                      <w:rFonts w:ascii="Arial" w:eastAsia="Times New Roman" w:hAnsi="Arial" w:cs="Arial"/>
                    </w:rPr>
                    <w:t>Total ST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7ED166D3" w14:textId="77777777" w:rsidR="00C87444" w:rsidRDefault="00C87444">
                  <w:pPr>
                    <w:pStyle w:val="ListParagraph"/>
                    <w:ind w:left="0"/>
                    <w:jc w:val="center"/>
                    <w:rPr>
                      <w:rFonts w:ascii="Arial" w:eastAsia="Times New Roman" w:hAnsi="Arial" w:cs="Arial"/>
                    </w:rPr>
                  </w:pPr>
                  <w:r>
                    <w:rPr>
                      <w:rFonts w:ascii="Arial" w:eastAsia="Times New Roman" w:hAnsi="Arial" w:cs="Arial"/>
                    </w:rPr>
                    <w:t>0</w:t>
                  </w:r>
                </w:p>
              </w:tc>
            </w:tr>
            <w:tr w:rsidR="00C87444" w14:paraId="03A36544" w14:textId="77777777">
              <w:tc>
                <w:tcPr>
                  <w:tcW w:w="4390" w:type="dxa"/>
                  <w:tcBorders>
                    <w:top w:val="single" w:sz="4" w:space="0" w:color="auto"/>
                    <w:left w:val="single" w:sz="4" w:space="0" w:color="auto"/>
                    <w:bottom w:val="single" w:sz="4" w:space="0" w:color="auto"/>
                    <w:right w:val="single" w:sz="4" w:space="0" w:color="auto"/>
                  </w:tcBorders>
                  <w:hideMark/>
                </w:tcPr>
                <w:p w14:paraId="5CDC12C2" w14:textId="77777777" w:rsidR="00C87444" w:rsidRDefault="00C87444">
                  <w:pPr>
                    <w:pStyle w:val="ListParagraph"/>
                    <w:ind w:left="0"/>
                    <w:rPr>
                      <w:rFonts w:ascii="Arial" w:eastAsia="Times New Roman" w:hAnsi="Arial" w:cs="Arial"/>
                    </w:rPr>
                  </w:pPr>
                  <w:r>
                    <w:rPr>
                      <w:rFonts w:ascii="Arial" w:eastAsia="Times New Roman" w:hAnsi="Arial" w:cs="Arial"/>
                    </w:rPr>
                    <w:t>ST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1C87E56" w14:textId="77777777" w:rsidR="00C87444" w:rsidRDefault="00C87444">
                  <w:pPr>
                    <w:pStyle w:val="ListParagraph"/>
                    <w:ind w:left="0"/>
                    <w:jc w:val="center"/>
                    <w:rPr>
                      <w:rFonts w:ascii="Arial" w:eastAsia="Times New Roman" w:hAnsi="Arial" w:cs="Arial"/>
                    </w:rPr>
                  </w:pPr>
                  <w:r>
                    <w:rPr>
                      <w:rFonts w:ascii="Arial" w:eastAsia="Times New Roman" w:hAnsi="Arial" w:cs="Arial"/>
                    </w:rPr>
                    <w:t>100%</w:t>
                  </w:r>
                </w:p>
              </w:tc>
            </w:tr>
            <w:tr w:rsidR="00C87444" w14:paraId="0FE39EA3" w14:textId="77777777">
              <w:tc>
                <w:tcPr>
                  <w:tcW w:w="4390" w:type="dxa"/>
                  <w:tcBorders>
                    <w:top w:val="single" w:sz="4" w:space="0" w:color="auto"/>
                    <w:left w:val="single" w:sz="4" w:space="0" w:color="auto"/>
                    <w:bottom w:val="single" w:sz="4" w:space="0" w:color="auto"/>
                    <w:right w:val="single" w:sz="4" w:space="0" w:color="auto"/>
                  </w:tcBorders>
                  <w:hideMark/>
                </w:tcPr>
                <w:p w14:paraId="2E7081C7" w14:textId="77777777" w:rsidR="00C87444" w:rsidRDefault="00C87444">
                  <w:pPr>
                    <w:pStyle w:val="ListParagraph"/>
                    <w:ind w:left="0"/>
                    <w:rPr>
                      <w:rFonts w:ascii="Arial" w:eastAsia="Times New Roman" w:hAnsi="Arial" w:cs="Arial"/>
                    </w:rPr>
                  </w:pPr>
                  <w:r>
                    <w:rPr>
                      <w:rFonts w:ascii="Arial" w:eastAsia="Times New Roman" w:hAnsi="Arial" w:cs="Arial"/>
                    </w:rPr>
                    <w:t>ST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D2F6FE0" w14:textId="77777777" w:rsidR="00C87444" w:rsidRDefault="00C87444">
                  <w:pPr>
                    <w:pStyle w:val="ListParagraph"/>
                    <w:ind w:left="0"/>
                    <w:jc w:val="center"/>
                    <w:rPr>
                      <w:rFonts w:ascii="Arial" w:eastAsia="Times New Roman" w:hAnsi="Arial" w:cs="Arial"/>
                    </w:rPr>
                  </w:pPr>
                  <w:r>
                    <w:rPr>
                      <w:rFonts w:ascii="Arial" w:eastAsia="Times New Roman" w:hAnsi="Arial" w:cs="Arial"/>
                    </w:rPr>
                    <w:t>0%</w:t>
                  </w:r>
                </w:p>
              </w:tc>
              <w:bookmarkEnd w:id="37"/>
            </w:tr>
          </w:tbl>
          <w:p w14:paraId="2A497C2A" w14:textId="77777777" w:rsidR="00C87444" w:rsidRDefault="00C87444">
            <w:pPr>
              <w:pStyle w:val="ListParagraph"/>
              <w:rPr>
                <w:rFonts w:ascii="Arial" w:eastAsia="Times New Roman" w:hAnsi="Arial" w:cs="Arial"/>
              </w:rPr>
            </w:pPr>
          </w:p>
        </w:tc>
        <w:tc>
          <w:tcPr>
            <w:tcW w:w="2500" w:type="pct"/>
            <w:tcBorders>
              <w:top w:val="single" w:sz="4" w:space="0" w:color="auto"/>
              <w:left w:val="single" w:sz="4" w:space="0" w:color="auto"/>
              <w:bottom w:val="single" w:sz="4" w:space="0" w:color="auto"/>
              <w:right w:val="single" w:sz="4" w:space="0" w:color="auto"/>
            </w:tcBorders>
          </w:tcPr>
          <w:p w14:paraId="602D2824" w14:textId="77777777" w:rsidR="00C87444" w:rsidRDefault="00C87444">
            <w:pPr>
              <w:pStyle w:val="ListParagraph"/>
              <w:rPr>
                <w:rFonts w:ascii="Arial" w:eastAsia="Times New Roman" w:hAnsi="Arial" w:cs="Arial"/>
              </w:rPr>
            </w:pPr>
          </w:p>
          <w:p w14:paraId="3F69DD35"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hAnsi="Arial" w:cs="Arial"/>
              </w:rPr>
              <w:t>To ensure that the processes, strategies, evidentiary standards, and other factors used to apply prior authorization to MH/SUD drugs, in operation, are comparable to, and are applied no more stringently than, the processes, strategies, evidentiary standards, and other factors used to apply step therapy to M/S drugs, step therapy for prescription drugs is analyzed semi-annually. One analysis we completed was a review of the percentage of drugs in the M/S and MH/SUD classifications that are subject to step therapy. See table below for M/S results.</w:t>
            </w:r>
          </w:p>
          <w:tbl>
            <w:tblPr>
              <w:tblStyle w:val="TableGrid"/>
              <w:tblW w:w="0" w:type="auto"/>
              <w:tblLook w:val="04A0" w:firstRow="1" w:lastRow="0" w:firstColumn="1" w:lastColumn="0" w:noHBand="0" w:noVBand="1"/>
            </w:tblPr>
            <w:tblGrid>
              <w:gridCol w:w="2368"/>
              <w:gridCol w:w="2081"/>
            </w:tblGrid>
            <w:tr w:rsidR="00C87444" w14:paraId="5EE7B8CB" w14:textId="77777777">
              <w:trPr>
                <w:trHeight w:val="741"/>
              </w:trPr>
              <w:tc>
                <w:tcPr>
                  <w:tcW w:w="9314" w:type="dxa"/>
                  <w:gridSpan w:val="2"/>
                  <w:tcBorders>
                    <w:top w:val="single" w:sz="4" w:space="0" w:color="auto"/>
                    <w:left w:val="single" w:sz="4" w:space="0" w:color="auto"/>
                    <w:bottom w:val="single" w:sz="4" w:space="0" w:color="auto"/>
                    <w:right w:val="single" w:sz="4" w:space="0" w:color="auto"/>
                  </w:tcBorders>
                  <w:hideMark/>
                </w:tcPr>
                <w:p w14:paraId="5B58209B" w14:textId="77777777" w:rsidR="00C87444" w:rsidRDefault="00C87444">
                  <w:pPr>
                    <w:pStyle w:val="BodyText"/>
                    <w:spacing w:before="223" w:line="264" w:lineRule="auto"/>
                    <w:jc w:val="center"/>
                    <w:rPr>
                      <w:rFonts w:ascii="Arial" w:eastAsiaTheme="minorHAnsi" w:hAnsi="Arial" w:cs="Arial"/>
                      <w:sz w:val="22"/>
                      <w:szCs w:val="22"/>
                    </w:rPr>
                  </w:pPr>
                  <w:r>
                    <w:rPr>
                      <w:rFonts w:ascii="Arial" w:hAnsi="Arial" w:cs="Arial"/>
                      <w:sz w:val="22"/>
                      <w:szCs w:val="22"/>
                    </w:rPr>
                    <w:t>MH/SUD ST Requirements</w:t>
                  </w:r>
                </w:p>
              </w:tc>
            </w:tr>
            <w:tr w:rsidR="00C87444" w14:paraId="453EDCFD"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7AA91F74"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Total MH/SUD Drugs</w:t>
                  </w:r>
                </w:p>
              </w:tc>
              <w:tc>
                <w:tcPr>
                  <w:tcW w:w="4657" w:type="dxa"/>
                  <w:tcBorders>
                    <w:top w:val="single" w:sz="4" w:space="0" w:color="auto"/>
                    <w:left w:val="single" w:sz="4" w:space="0" w:color="auto"/>
                    <w:bottom w:val="single" w:sz="4" w:space="0" w:color="auto"/>
                    <w:right w:val="single" w:sz="4" w:space="0" w:color="auto"/>
                  </w:tcBorders>
                  <w:hideMark/>
                </w:tcPr>
                <w:p w14:paraId="4528B1EE"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772</w:t>
                  </w:r>
                </w:p>
              </w:tc>
            </w:tr>
            <w:tr w:rsidR="00C87444" w14:paraId="64E359BC" w14:textId="77777777">
              <w:trPr>
                <w:trHeight w:val="741"/>
              </w:trPr>
              <w:tc>
                <w:tcPr>
                  <w:tcW w:w="4657" w:type="dxa"/>
                  <w:tcBorders>
                    <w:top w:val="single" w:sz="4" w:space="0" w:color="auto"/>
                    <w:left w:val="single" w:sz="4" w:space="0" w:color="auto"/>
                    <w:bottom w:val="single" w:sz="4" w:space="0" w:color="auto"/>
                    <w:right w:val="single" w:sz="4" w:space="0" w:color="auto"/>
                  </w:tcBorders>
                  <w:hideMark/>
                </w:tcPr>
                <w:p w14:paraId="17B0B479"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Total MH/SUD Drugs Requiring ST</w:t>
                  </w:r>
                </w:p>
              </w:tc>
              <w:tc>
                <w:tcPr>
                  <w:tcW w:w="4657" w:type="dxa"/>
                  <w:tcBorders>
                    <w:top w:val="single" w:sz="4" w:space="0" w:color="auto"/>
                    <w:left w:val="single" w:sz="4" w:space="0" w:color="auto"/>
                    <w:bottom w:val="single" w:sz="4" w:space="0" w:color="auto"/>
                    <w:right w:val="single" w:sz="4" w:space="0" w:color="auto"/>
                  </w:tcBorders>
                  <w:hideMark/>
                </w:tcPr>
                <w:p w14:paraId="71084246"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63</w:t>
                  </w:r>
                </w:p>
              </w:tc>
            </w:tr>
            <w:tr w:rsidR="00C87444" w14:paraId="12AA20DD" w14:textId="77777777">
              <w:trPr>
                <w:trHeight w:val="742"/>
              </w:trPr>
              <w:tc>
                <w:tcPr>
                  <w:tcW w:w="4657" w:type="dxa"/>
                  <w:tcBorders>
                    <w:top w:val="single" w:sz="4" w:space="0" w:color="auto"/>
                    <w:left w:val="single" w:sz="4" w:space="0" w:color="auto"/>
                    <w:bottom w:val="single" w:sz="4" w:space="0" w:color="auto"/>
                    <w:right w:val="single" w:sz="4" w:space="0" w:color="auto"/>
                  </w:tcBorders>
                  <w:hideMark/>
                </w:tcPr>
                <w:p w14:paraId="00F66721"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ST Required Rate</w:t>
                  </w:r>
                </w:p>
              </w:tc>
              <w:tc>
                <w:tcPr>
                  <w:tcW w:w="4657" w:type="dxa"/>
                  <w:tcBorders>
                    <w:top w:val="single" w:sz="4" w:space="0" w:color="auto"/>
                    <w:left w:val="single" w:sz="4" w:space="0" w:color="auto"/>
                    <w:bottom w:val="single" w:sz="4" w:space="0" w:color="auto"/>
                    <w:right w:val="single" w:sz="4" w:space="0" w:color="auto"/>
                  </w:tcBorders>
                  <w:hideMark/>
                </w:tcPr>
                <w:p w14:paraId="07DF0AB3" w14:textId="77777777" w:rsidR="00C87444" w:rsidRDefault="00C87444">
                  <w:pPr>
                    <w:pStyle w:val="BodyText"/>
                    <w:spacing w:before="223" w:line="264" w:lineRule="auto"/>
                    <w:rPr>
                      <w:rFonts w:ascii="Arial" w:hAnsi="Arial" w:cs="Arial"/>
                      <w:sz w:val="22"/>
                      <w:szCs w:val="22"/>
                    </w:rPr>
                  </w:pPr>
                  <w:r>
                    <w:rPr>
                      <w:rFonts w:ascii="Arial" w:hAnsi="Arial" w:cs="Arial"/>
                      <w:sz w:val="22"/>
                      <w:szCs w:val="22"/>
                    </w:rPr>
                    <w:t>8.1%</w:t>
                  </w:r>
                </w:p>
              </w:tc>
            </w:tr>
          </w:tbl>
          <w:p w14:paraId="23BB873B" w14:textId="77777777" w:rsidR="00C87444" w:rsidRDefault="00C87444">
            <w:pPr>
              <w:pStyle w:val="ListParagraph"/>
              <w:rPr>
                <w:rFonts w:ascii="Arial" w:eastAsia="Times New Roman" w:hAnsi="Arial" w:cs="Arial"/>
              </w:rPr>
            </w:pPr>
          </w:p>
          <w:p w14:paraId="6C3FA275"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eastAsia="Times New Roman" w:hAnsi="Arial" w:cs="Arial"/>
              </w:rPr>
              <w:t>We also completed an analysis of the turnaround times for ST requests to be issued either an approval or denial. On average, the turnaround time for MH/SUD drugs was less than 1 day.</w:t>
            </w:r>
          </w:p>
          <w:p w14:paraId="604857A7" w14:textId="77777777" w:rsidR="00C87444" w:rsidRDefault="00C87444">
            <w:pPr>
              <w:pStyle w:val="ListParagraph"/>
              <w:rPr>
                <w:rFonts w:ascii="Arial" w:eastAsia="Times New Roman" w:hAnsi="Arial" w:cs="Arial"/>
              </w:rPr>
            </w:pPr>
          </w:p>
          <w:p w14:paraId="52578E8A" w14:textId="77777777" w:rsidR="00C87444" w:rsidRDefault="00C87444" w:rsidP="00C87444">
            <w:pPr>
              <w:pStyle w:val="ListParagraph"/>
              <w:numPr>
                <w:ilvl w:val="0"/>
                <w:numId w:val="56"/>
              </w:numPr>
              <w:spacing w:after="0" w:line="240" w:lineRule="auto"/>
              <w:rPr>
                <w:rFonts w:ascii="Arial" w:eastAsia="Times New Roman" w:hAnsi="Arial" w:cs="Arial"/>
              </w:rPr>
            </w:pPr>
            <w:r>
              <w:rPr>
                <w:rFonts w:ascii="Arial" w:hAnsi="Arial" w:cs="Arial"/>
              </w:rPr>
              <w:t xml:space="preserve">We also completed an analysis of denial rates for requests for Step Therapy in </w:t>
            </w:r>
            <w:proofErr w:type="gramStart"/>
            <w:r>
              <w:rPr>
                <w:rFonts w:ascii="Arial" w:hAnsi="Arial" w:cs="Arial"/>
              </w:rPr>
              <w:t>calendar</w:t>
            </w:r>
            <w:proofErr w:type="gramEnd"/>
            <w:r>
              <w:rPr>
                <w:rFonts w:ascii="Arial" w:hAnsi="Arial" w:cs="Arial"/>
              </w:rPr>
              <w:t xml:space="preserve"> year 2022. Results can be seen in the table below. </w:t>
            </w:r>
          </w:p>
          <w:p w14:paraId="04041B0E" w14:textId="77777777" w:rsidR="00C87444" w:rsidRDefault="00C87444">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085"/>
              <w:gridCol w:w="1644"/>
            </w:tblGrid>
            <w:tr w:rsidR="00C87444" w14:paraId="743DC8A4"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2C8E902D" w14:textId="77777777" w:rsidR="00C87444" w:rsidRDefault="00C87444">
                  <w:pPr>
                    <w:pStyle w:val="ListParagraph"/>
                    <w:ind w:left="0"/>
                    <w:jc w:val="center"/>
                    <w:rPr>
                      <w:rFonts w:ascii="Arial" w:eastAsia="Times New Roman" w:hAnsi="Arial" w:cs="Arial"/>
                    </w:rPr>
                  </w:pPr>
                  <w:r>
                    <w:rPr>
                      <w:rFonts w:ascii="Arial" w:eastAsia="Times New Roman" w:hAnsi="Arial" w:cs="Arial"/>
                    </w:rPr>
                    <w:t>Global MH/SUD ST Analysis</w:t>
                  </w:r>
                </w:p>
              </w:tc>
            </w:tr>
            <w:tr w:rsidR="00C87444" w14:paraId="2BDB3F0C" w14:textId="77777777">
              <w:tc>
                <w:tcPr>
                  <w:tcW w:w="4390" w:type="dxa"/>
                  <w:tcBorders>
                    <w:top w:val="single" w:sz="4" w:space="0" w:color="auto"/>
                    <w:left w:val="single" w:sz="4" w:space="0" w:color="auto"/>
                    <w:bottom w:val="single" w:sz="4" w:space="0" w:color="auto"/>
                    <w:right w:val="single" w:sz="4" w:space="0" w:color="auto"/>
                  </w:tcBorders>
                  <w:hideMark/>
                </w:tcPr>
                <w:p w14:paraId="0147218F" w14:textId="77777777" w:rsidR="00C87444" w:rsidRDefault="00C87444">
                  <w:pPr>
                    <w:pStyle w:val="ListParagraph"/>
                    <w:ind w:left="0"/>
                    <w:rPr>
                      <w:rFonts w:ascii="Arial" w:eastAsia="Times New Roman" w:hAnsi="Arial" w:cs="Arial"/>
                    </w:rPr>
                  </w:pPr>
                  <w:r>
                    <w:rPr>
                      <w:rFonts w:ascii="Arial" w:eastAsia="Times New Roman" w:hAnsi="Arial" w:cs="Arial"/>
                    </w:rPr>
                    <w:t>Total ST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0DF26AB" w14:textId="77777777" w:rsidR="00C87444" w:rsidRDefault="00C87444">
                  <w:pPr>
                    <w:pStyle w:val="ListParagraph"/>
                    <w:ind w:left="0"/>
                    <w:jc w:val="center"/>
                    <w:rPr>
                      <w:rFonts w:ascii="Arial" w:eastAsia="Times New Roman" w:hAnsi="Arial" w:cs="Arial"/>
                    </w:rPr>
                  </w:pPr>
                  <w:r>
                    <w:rPr>
                      <w:rFonts w:ascii="Arial" w:eastAsia="Times New Roman" w:hAnsi="Arial" w:cs="Arial"/>
                    </w:rPr>
                    <w:t>287</w:t>
                  </w:r>
                </w:p>
              </w:tc>
            </w:tr>
            <w:tr w:rsidR="00C87444" w14:paraId="702F097D" w14:textId="77777777">
              <w:tc>
                <w:tcPr>
                  <w:tcW w:w="4390" w:type="dxa"/>
                  <w:tcBorders>
                    <w:top w:val="single" w:sz="4" w:space="0" w:color="auto"/>
                    <w:left w:val="single" w:sz="4" w:space="0" w:color="auto"/>
                    <w:bottom w:val="single" w:sz="4" w:space="0" w:color="auto"/>
                    <w:right w:val="single" w:sz="4" w:space="0" w:color="auto"/>
                  </w:tcBorders>
                  <w:hideMark/>
                </w:tcPr>
                <w:p w14:paraId="150E74EF" w14:textId="77777777" w:rsidR="00C87444" w:rsidRDefault="00C87444">
                  <w:pPr>
                    <w:pStyle w:val="ListParagraph"/>
                    <w:ind w:left="0"/>
                    <w:rPr>
                      <w:rFonts w:ascii="Arial" w:eastAsia="Times New Roman" w:hAnsi="Arial" w:cs="Arial"/>
                    </w:rPr>
                  </w:pPr>
                  <w:r>
                    <w:rPr>
                      <w:rFonts w:ascii="Arial" w:eastAsia="Times New Roman" w:hAnsi="Arial" w:cs="Arial"/>
                    </w:rPr>
                    <w:t>Total ST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6A8AE2E" w14:textId="77777777" w:rsidR="00C87444" w:rsidRDefault="00C87444">
                  <w:pPr>
                    <w:pStyle w:val="ListParagraph"/>
                    <w:ind w:left="0"/>
                    <w:jc w:val="center"/>
                    <w:rPr>
                      <w:rFonts w:ascii="Arial" w:eastAsia="Times New Roman" w:hAnsi="Arial" w:cs="Arial"/>
                    </w:rPr>
                  </w:pPr>
                  <w:r>
                    <w:rPr>
                      <w:rFonts w:ascii="Arial" w:eastAsia="Times New Roman" w:hAnsi="Arial" w:cs="Arial"/>
                    </w:rPr>
                    <w:t>270</w:t>
                  </w:r>
                </w:p>
              </w:tc>
            </w:tr>
            <w:tr w:rsidR="00C87444" w14:paraId="7351EFF8" w14:textId="77777777">
              <w:tc>
                <w:tcPr>
                  <w:tcW w:w="4390" w:type="dxa"/>
                  <w:tcBorders>
                    <w:top w:val="single" w:sz="4" w:space="0" w:color="auto"/>
                    <w:left w:val="single" w:sz="4" w:space="0" w:color="auto"/>
                    <w:bottom w:val="single" w:sz="4" w:space="0" w:color="auto"/>
                    <w:right w:val="single" w:sz="4" w:space="0" w:color="auto"/>
                  </w:tcBorders>
                  <w:hideMark/>
                </w:tcPr>
                <w:p w14:paraId="578C02C9" w14:textId="77777777" w:rsidR="00C87444" w:rsidRDefault="00C87444">
                  <w:pPr>
                    <w:pStyle w:val="ListParagraph"/>
                    <w:ind w:left="0"/>
                    <w:rPr>
                      <w:rFonts w:ascii="Arial" w:eastAsia="Times New Roman" w:hAnsi="Arial" w:cs="Arial"/>
                    </w:rPr>
                  </w:pPr>
                  <w:r>
                    <w:rPr>
                      <w:rFonts w:ascii="Arial" w:eastAsia="Times New Roman" w:hAnsi="Arial" w:cs="Arial"/>
                    </w:rPr>
                    <w:t>Total ST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3153B4F5" w14:textId="77777777" w:rsidR="00C87444" w:rsidRDefault="00C87444">
                  <w:pPr>
                    <w:pStyle w:val="ListParagraph"/>
                    <w:ind w:left="0"/>
                    <w:jc w:val="center"/>
                    <w:rPr>
                      <w:rFonts w:ascii="Arial" w:eastAsia="Times New Roman" w:hAnsi="Arial" w:cs="Arial"/>
                    </w:rPr>
                  </w:pPr>
                  <w:r>
                    <w:rPr>
                      <w:rFonts w:ascii="Arial" w:eastAsia="Times New Roman" w:hAnsi="Arial" w:cs="Arial"/>
                    </w:rPr>
                    <w:t>17</w:t>
                  </w:r>
                </w:p>
              </w:tc>
            </w:tr>
            <w:tr w:rsidR="00C87444" w14:paraId="35BA4683" w14:textId="77777777">
              <w:tc>
                <w:tcPr>
                  <w:tcW w:w="4390" w:type="dxa"/>
                  <w:tcBorders>
                    <w:top w:val="single" w:sz="4" w:space="0" w:color="auto"/>
                    <w:left w:val="single" w:sz="4" w:space="0" w:color="auto"/>
                    <w:bottom w:val="single" w:sz="4" w:space="0" w:color="auto"/>
                    <w:right w:val="single" w:sz="4" w:space="0" w:color="auto"/>
                  </w:tcBorders>
                  <w:hideMark/>
                </w:tcPr>
                <w:p w14:paraId="296FFC8C" w14:textId="77777777" w:rsidR="00C87444" w:rsidRDefault="00C87444">
                  <w:pPr>
                    <w:pStyle w:val="ListParagraph"/>
                    <w:ind w:left="0"/>
                    <w:rPr>
                      <w:rFonts w:ascii="Arial" w:eastAsia="Times New Roman" w:hAnsi="Arial" w:cs="Arial"/>
                    </w:rPr>
                  </w:pPr>
                  <w:r>
                    <w:rPr>
                      <w:rFonts w:ascii="Arial" w:eastAsia="Times New Roman" w:hAnsi="Arial" w:cs="Arial"/>
                    </w:rPr>
                    <w:t>ST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48385FA6" w14:textId="77777777" w:rsidR="00C87444" w:rsidRDefault="00C87444">
                  <w:pPr>
                    <w:pStyle w:val="ListParagraph"/>
                    <w:ind w:left="0"/>
                    <w:jc w:val="center"/>
                    <w:rPr>
                      <w:rFonts w:ascii="Arial" w:eastAsia="Times New Roman" w:hAnsi="Arial" w:cs="Arial"/>
                    </w:rPr>
                  </w:pPr>
                  <w:r>
                    <w:rPr>
                      <w:rFonts w:ascii="Arial" w:eastAsia="Times New Roman" w:hAnsi="Arial" w:cs="Arial"/>
                    </w:rPr>
                    <w:t>94%</w:t>
                  </w:r>
                </w:p>
              </w:tc>
            </w:tr>
            <w:tr w:rsidR="00C87444" w14:paraId="20577EAC" w14:textId="77777777">
              <w:tc>
                <w:tcPr>
                  <w:tcW w:w="4390" w:type="dxa"/>
                  <w:tcBorders>
                    <w:top w:val="single" w:sz="4" w:space="0" w:color="auto"/>
                    <w:left w:val="single" w:sz="4" w:space="0" w:color="auto"/>
                    <w:bottom w:val="single" w:sz="4" w:space="0" w:color="auto"/>
                    <w:right w:val="single" w:sz="4" w:space="0" w:color="auto"/>
                  </w:tcBorders>
                  <w:hideMark/>
                </w:tcPr>
                <w:p w14:paraId="462FD5F3" w14:textId="77777777" w:rsidR="00C87444" w:rsidRDefault="00C87444">
                  <w:pPr>
                    <w:pStyle w:val="ListParagraph"/>
                    <w:ind w:left="0"/>
                    <w:rPr>
                      <w:rFonts w:ascii="Arial" w:eastAsia="Times New Roman" w:hAnsi="Arial" w:cs="Arial"/>
                    </w:rPr>
                  </w:pPr>
                  <w:r>
                    <w:rPr>
                      <w:rFonts w:ascii="Arial" w:eastAsia="Times New Roman" w:hAnsi="Arial" w:cs="Arial"/>
                    </w:rPr>
                    <w:t>ST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342F9442" w14:textId="77777777" w:rsidR="00C87444" w:rsidRDefault="00C87444">
                  <w:pPr>
                    <w:pStyle w:val="ListParagraph"/>
                    <w:ind w:left="0"/>
                    <w:jc w:val="center"/>
                    <w:rPr>
                      <w:rFonts w:ascii="Arial" w:eastAsia="Times New Roman" w:hAnsi="Arial" w:cs="Arial"/>
                    </w:rPr>
                  </w:pPr>
                  <w:r>
                    <w:rPr>
                      <w:rFonts w:ascii="Arial" w:eastAsia="Times New Roman" w:hAnsi="Arial" w:cs="Arial"/>
                    </w:rPr>
                    <w:t>6%</w:t>
                  </w:r>
                </w:p>
              </w:tc>
            </w:tr>
          </w:tbl>
          <w:p w14:paraId="57A34607" w14:textId="77777777" w:rsidR="00C87444" w:rsidRDefault="00C87444">
            <w:pPr>
              <w:pStyle w:val="ListParagraph"/>
              <w:rPr>
                <w:rFonts w:ascii="Arial" w:eastAsia="Times New Roman" w:hAnsi="Arial" w:cs="Arial"/>
              </w:rPr>
            </w:pPr>
          </w:p>
          <w:tbl>
            <w:tblPr>
              <w:tblStyle w:val="TableGrid"/>
              <w:tblW w:w="0" w:type="auto"/>
              <w:tblInd w:w="720" w:type="dxa"/>
              <w:tblLook w:val="04A0" w:firstRow="1" w:lastRow="0" w:firstColumn="1" w:lastColumn="0" w:noHBand="0" w:noVBand="1"/>
            </w:tblPr>
            <w:tblGrid>
              <w:gridCol w:w="2042"/>
              <w:gridCol w:w="1687"/>
            </w:tblGrid>
            <w:tr w:rsidR="00C87444" w14:paraId="160BE42B" w14:textId="77777777">
              <w:tc>
                <w:tcPr>
                  <w:tcW w:w="8594" w:type="dxa"/>
                  <w:gridSpan w:val="2"/>
                  <w:tcBorders>
                    <w:top w:val="single" w:sz="4" w:space="0" w:color="auto"/>
                    <w:left w:val="single" w:sz="4" w:space="0" w:color="auto"/>
                    <w:bottom w:val="single" w:sz="4" w:space="0" w:color="auto"/>
                    <w:right w:val="single" w:sz="4" w:space="0" w:color="auto"/>
                  </w:tcBorders>
                  <w:hideMark/>
                </w:tcPr>
                <w:p w14:paraId="2DC26791" w14:textId="77777777" w:rsidR="00C87444" w:rsidRDefault="00C87444">
                  <w:pPr>
                    <w:pStyle w:val="ListParagraph"/>
                    <w:ind w:left="0"/>
                    <w:jc w:val="center"/>
                    <w:rPr>
                      <w:rFonts w:ascii="Arial" w:eastAsia="Times New Roman" w:hAnsi="Arial" w:cs="Arial"/>
                    </w:rPr>
                  </w:pPr>
                  <w:r>
                    <w:rPr>
                      <w:rFonts w:ascii="Arial" w:eastAsia="Times New Roman" w:hAnsi="Arial" w:cs="Arial"/>
                    </w:rPr>
                    <w:t>MD MH/SUD ST Analysis</w:t>
                  </w:r>
                </w:p>
              </w:tc>
            </w:tr>
            <w:tr w:rsidR="00C87444" w14:paraId="3A05FF2B" w14:textId="77777777">
              <w:tc>
                <w:tcPr>
                  <w:tcW w:w="4390" w:type="dxa"/>
                  <w:tcBorders>
                    <w:top w:val="single" w:sz="4" w:space="0" w:color="auto"/>
                    <w:left w:val="single" w:sz="4" w:space="0" w:color="auto"/>
                    <w:bottom w:val="single" w:sz="4" w:space="0" w:color="auto"/>
                    <w:right w:val="single" w:sz="4" w:space="0" w:color="auto"/>
                  </w:tcBorders>
                  <w:hideMark/>
                </w:tcPr>
                <w:p w14:paraId="613D0BD4" w14:textId="77777777" w:rsidR="00C87444" w:rsidRDefault="00C87444">
                  <w:pPr>
                    <w:pStyle w:val="ListParagraph"/>
                    <w:ind w:left="0"/>
                    <w:rPr>
                      <w:rFonts w:ascii="Arial" w:eastAsia="Times New Roman" w:hAnsi="Arial" w:cs="Arial"/>
                    </w:rPr>
                  </w:pPr>
                  <w:r>
                    <w:rPr>
                      <w:rFonts w:ascii="Arial" w:eastAsia="Times New Roman" w:hAnsi="Arial" w:cs="Arial"/>
                    </w:rPr>
                    <w:t>Total ST Requests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7DFBA56B" w14:textId="77777777" w:rsidR="00C87444" w:rsidRDefault="00C87444">
                  <w:pPr>
                    <w:pStyle w:val="ListParagraph"/>
                    <w:ind w:left="0"/>
                    <w:jc w:val="center"/>
                    <w:rPr>
                      <w:rFonts w:ascii="Arial" w:eastAsia="Times New Roman" w:hAnsi="Arial" w:cs="Arial"/>
                    </w:rPr>
                  </w:pPr>
                  <w:r>
                    <w:rPr>
                      <w:rFonts w:ascii="Arial" w:eastAsia="Times New Roman" w:hAnsi="Arial" w:cs="Arial"/>
                    </w:rPr>
                    <w:t>1</w:t>
                  </w:r>
                </w:p>
              </w:tc>
            </w:tr>
            <w:tr w:rsidR="00C87444" w14:paraId="73DEADA6" w14:textId="77777777">
              <w:tc>
                <w:tcPr>
                  <w:tcW w:w="4390" w:type="dxa"/>
                  <w:tcBorders>
                    <w:top w:val="single" w:sz="4" w:space="0" w:color="auto"/>
                    <w:left w:val="single" w:sz="4" w:space="0" w:color="auto"/>
                    <w:bottom w:val="single" w:sz="4" w:space="0" w:color="auto"/>
                    <w:right w:val="single" w:sz="4" w:space="0" w:color="auto"/>
                  </w:tcBorders>
                  <w:hideMark/>
                </w:tcPr>
                <w:p w14:paraId="131AF3DC" w14:textId="77777777" w:rsidR="00C87444" w:rsidRDefault="00C87444">
                  <w:pPr>
                    <w:pStyle w:val="ListParagraph"/>
                    <w:ind w:left="0"/>
                    <w:rPr>
                      <w:rFonts w:ascii="Arial" w:eastAsia="Times New Roman" w:hAnsi="Arial" w:cs="Arial"/>
                    </w:rPr>
                  </w:pPr>
                  <w:r>
                    <w:rPr>
                      <w:rFonts w:ascii="Arial" w:eastAsia="Times New Roman" w:hAnsi="Arial" w:cs="Arial"/>
                    </w:rPr>
                    <w:t>Total ST Approvals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C09ED3B" w14:textId="77777777" w:rsidR="00C87444" w:rsidRDefault="00C87444">
                  <w:pPr>
                    <w:pStyle w:val="ListParagraph"/>
                    <w:ind w:left="0"/>
                    <w:jc w:val="center"/>
                    <w:rPr>
                      <w:rFonts w:ascii="Arial" w:eastAsia="Times New Roman" w:hAnsi="Arial" w:cs="Arial"/>
                    </w:rPr>
                  </w:pPr>
                  <w:r>
                    <w:rPr>
                      <w:rFonts w:ascii="Arial" w:eastAsia="Times New Roman" w:hAnsi="Arial" w:cs="Arial"/>
                    </w:rPr>
                    <w:t>1</w:t>
                  </w:r>
                </w:p>
              </w:tc>
            </w:tr>
            <w:tr w:rsidR="00C87444" w14:paraId="3B603183" w14:textId="77777777">
              <w:tc>
                <w:tcPr>
                  <w:tcW w:w="4390" w:type="dxa"/>
                  <w:tcBorders>
                    <w:top w:val="single" w:sz="4" w:space="0" w:color="auto"/>
                    <w:left w:val="single" w:sz="4" w:space="0" w:color="auto"/>
                    <w:bottom w:val="single" w:sz="4" w:space="0" w:color="auto"/>
                    <w:right w:val="single" w:sz="4" w:space="0" w:color="auto"/>
                  </w:tcBorders>
                  <w:hideMark/>
                </w:tcPr>
                <w:p w14:paraId="40B8A281" w14:textId="77777777" w:rsidR="00C87444" w:rsidRDefault="00C87444">
                  <w:pPr>
                    <w:pStyle w:val="ListParagraph"/>
                    <w:ind w:left="0"/>
                    <w:rPr>
                      <w:rFonts w:ascii="Arial" w:eastAsia="Times New Roman" w:hAnsi="Arial" w:cs="Arial"/>
                    </w:rPr>
                  </w:pPr>
                  <w:r>
                    <w:rPr>
                      <w:rFonts w:ascii="Arial" w:eastAsia="Times New Roman" w:hAnsi="Arial" w:cs="Arial"/>
                    </w:rPr>
                    <w:t>Total ST Denials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63F099B" w14:textId="77777777" w:rsidR="00C87444" w:rsidRDefault="00C87444">
                  <w:pPr>
                    <w:pStyle w:val="ListParagraph"/>
                    <w:ind w:left="0"/>
                    <w:jc w:val="center"/>
                    <w:rPr>
                      <w:rFonts w:ascii="Arial" w:eastAsia="Times New Roman" w:hAnsi="Arial" w:cs="Arial"/>
                    </w:rPr>
                  </w:pPr>
                  <w:r>
                    <w:rPr>
                      <w:rFonts w:ascii="Arial" w:eastAsia="Times New Roman" w:hAnsi="Arial" w:cs="Arial"/>
                    </w:rPr>
                    <w:t>0</w:t>
                  </w:r>
                </w:p>
              </w:tc>
            </w:tr>
            <w:tr w:rsidR="00C87444" w14:paraId="3654EE14" w14:textId="77777777">
              <w:tc>
                <w:tcPr>
                  <w:tcW w:w="4390" w:type="dxa"/>
                  <w:tcBorders>
                    <w:top w:val="single" w:sz="4" w:space="0" w:color="auto"/>
                    <w:left w:val="single" w:sz="4" w:space="0" w:color="auto"/>
                    <w:bottom w:val="single" w:sz="4" w:space="0" w:color="auto"/>
                    <w:right w:val="single" w:sz="4" w:space="0" w:color="auto"/>
                  </w:tcBorders>
                  <w:hideMark/>
                </w:tcPr>
                <w:p w14:paraId="74583CE3" w14:textId="77777777" w:rsidR="00C87444" w:rsidRDefault="00C87444">
                  <w:pPr>
                    <w:pStyle w:val="ListParagraph"/>
                    <w:ind w:left="0"/>
                    <w:rPr>
                      <w:rFonts w:ascii="Arial" w:eastAsia="Times New Roman" w:hAnsi="Arial" w:cs="Arial"/>
                    </w:rPr>
                  </w:pPr>
                  <w:r>
                    <w:rPr>
                      <w:rFonts w:ascii="Arial" w:eastAsia="Times New Roman" w:hAnsi="Arial" w:cs="Arial"/>
                    </w:rPr>
                    <w:t>ST Approval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7824C98C" w14:textId="77777777" w:rsidR="00C87444" w:rsidRDefault="00C87444">
                  <w:pPr>
                    <w:pStyle w:val="ListParagraph"/>
                    <w:ind w:left="0"/>
                    <w:jc w:val="center"/>
                    <w:rPr>
                      <w:rFonts w:ascii="Arial" w:eastAsia="Times New Roman" w:hAnsi="Arial" w:cs="Arial"/>
                    </w:rPr>
                  </w:pPr>
                  <w:r>
                    <w:rPr>
                      <w:rFonts w:ascii="Arial" w:eastAsia="Times New Roman" w:hAnsi="Arial" w:cs="Arial"/>
                    </w:rPr>
                    <w:t>100%</w:t>
                  </w:r>
                </w:p>
              </w:tc>
            </w:tr>
            <w:tr w:rsidR="00C87444" w14:paraId="71CDF549" w14:textId="77777777">
              <w:tc>
                <w:tcPr>
                  <w:tcW w:w="4390" w:type="dxa"/>
                  <w:tcBorders>
                    <w:top w:val="single" w:sz="4" w:space="0" w:color="auto"/>
                    <w:left w:val="single" w:sz="4" w:space="0" w:color="auto"/>
                    <w:bottom w:val="single" w:sz="4" w:space="0" w:color="auto"/>
                    <w:right w:val="single" w:sz="4" w:space="0" w:color="auto"/>
                  </w:tcBorders>
                  <w:hideMark/>
                </w:tcPr>
                <w:p w14:paraId="733E5698" w14:textId="77777777" w:rsidR="00C87444" w:rsidRDefault="00C87444">
                  <w:pPr>
                    <w:pStyle w:val="ListParagraph"/>
                    <w:ind w:left="0"/>
                    <w:rPr>
                      <w:rFonts w:ascii="Arial" w:eastAsia="Times New Roman" w:hAnsi="Arial" w:cs="Arial"/>
                    </w:rPr>
                  </w:pPr>
                  <w:r>
                    <w:rPr>
                      <w:rFonts w:ascii="Arial" w:eastAsia="Times New Roman" w:hAnsi="Arial" w:cs="Arial"/>
                    </w:rPr>
                    <w:t>ST Denial Rate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398D038C" w14:textId="77777777" w:rsidR="00C87444" w:rsidRDefault="00C87444">
                  <w:pPr>
                    <w:pStyle w:val="ListParagraph"/>
                    <w:ind w:left="0"/>
                    <w:jc w:val="center"/>
                    <w:rPr>
                      <w:rFonts w:ascii="Arial" w:eastAsia="Times New Roman" w:hAnsi="Arial" w:cs="Arial"/>
                    </w:rPr>
                  </w:pPr>
                  <w:r>
                    <w:rPr>
                      <w:rFonts w:ascii="Arial" w:eastAsia="Times New Roman" w:hAnsi="Arial" w:cs="Arial"/>
                    </w:rPr>
                    <w:t>0%</w:t>
                  </w:r>
                </w:p>
              </w:tc>
            </w:tr>
          </w:tbl>
          <w:p w14:paraId="0547F326" w14:textId="77777777" w:rsidR="00C87444" w:rsidRDefault="00C87444" w:rsidP="00C87444">
            <w:pPr>
              <w:pStyle w:val="ListParagraph"/>
              <w:numPr>
                <w:ilvl w:val="0"/>
                <w:numId w:val="56"/>
              </w:numPr>
              <w:spacing w:after="0" w:line="240" w:lineRule="auto"/>
              <w:rPr>
                <w:rFonts w:ascii="Arial" w:eastAsia="Times New Roman" w:hAnsi="Arial" w:cs="Arial"/>
              </w:rPr>
            </w:pPr>
          </w:p>
        </w:tc>
      </w:tr>
      <w:tr w:rsidR="00C87444" w14:paraId="281F43D9" w14:textId="77777777" w:rsidTr="00C87444">
        <w:trPr>
          <w:trHeight w:val="7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D87CB" w14:textId="77777777" w:rsidR="00C87444" w:rsidRDefault="00C87444">
            <w:pPr>
              <w:rPr>
                <w:rFonts w:ascii="Arial" w:eastAsia="Times New Roman" w:hAnsi="Arial" w:cs="Arial"/>
                <w:b/>
                <w:bCs/>
              </w:rPr>
            </w:pPr>
            <w:r>
              <w:rPr>
                <w:rFonts w:ascii="Arial" w:eastAsia="Times New Roman" w:hAnsi="Arial" w:cs="Arial"/>
                <w:b/>
                <w:bCs/>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tc>
      </w:tr>
      <w:tr w:rsidR="00C87444" w14:paraId="30FD9B3A" w14:textId="77777777" w:rsidTr="00C87444">
        <w:trPr>
          <w:trHeight w:val="1988"/>
        </w:trPr>
        <w:tc>
          <w:tcPr>
            <w:tcW w:w="5000" w:type="pct"/>
            <w:gridSpan w:val="2"/>
            <w:tcBorders>
              <w:top w:val="single" w:sz="4" w:space="0" w:color="auto"/>
              <w:left w:val="single" w:sz="4" w:space="0" w:color="auto"/>
              <w:bottom w:val="single" w:sz="4" w:space="0" w:color="auto"/>
              <w:right w:val="single" w:sz="4" w:space="0" w:color="auto"/>
            </w:tcBorders>
          </w:tcPr>
          <w:p w14:paraId="527AB226" w14:textId="77777777" w:rsidR="00C87444" w:rsidRDefault="00C87444">
            <w:pPr>
              <w:rPr>
                <w:rFonts w:ascii="Arial" w:eastAsia="Times New Roman" w:hAnsi="Arial" w:cs="Arial"/>
              </w:rPr>
            </w:pPr>
            <w:r>
              <w:rPr>
                <w:rFonts w:ascii="Arial" w:eastAsia="Times New Roman" w:hAnsi="Arial" w:cs="Arial"/>
                <w:b/>
                <w:bCs/>
              </w:rPr>
              <w:t>As Written:</w:t>
            </w:r>
            <w:r>
              <w:rPr>
                <w:rFonts w:ascii="Arial" w:eastAsia="Times New Roman" w:hAnsi="Arial" w:cs="Arial"/>
              </w:rPr>
              <w:t xml:space="preserve"> The process for creating a step therapy policy for a drug is the same for both M/S and MH/SUD drugs. Providers can request Step Therapy Exceptions by calling Express Scripts Prior Authorization department directly, utilizing </w:t>
            </w:r>
            <w:proofErr w:type="spellStart"/>
            <w:r>
              <w:rPr>
                <w:rFonts w:ascii="Arial" w:eastAsia="Times New Roman" w:hAnsi="Arial" w:cs="Arial"/>
              </w:rPr>
              <w:t>CoverMyMeds</w:t>
            </w:r>
            <w:proofErr w:type="spellEnd"/>
            <w:r>
              <w:rPr>
                <w:rFonts w:ascii="Arial" w:eastAsia="Times New Roman" w:hAnsi="Arial" w:cs="Arial"/>
              </w:rPr>
              <w:t xml:space="preserve">, Express Path, or </w:t>
            </w:r>
            <w:proofErr w:type="spellStart"/>
            <w:r>
              <w:rPr>
                <w:rFonts w:ascii="Arial" w:eastAsia="Times New Roman" w:hAnsi="Arial" w:cs="Arial"/>
              </w:rPr>
              <w:t>SureScripts</w:t>
            </w:r>
            <w:proofErr w:type="spellEnd"/>
            <w:r>
              <w:rPr>
                <w:rFonts w:ascii="Arial" w:eastAsia="Times New Roman" w:hAnsi="Arial" w:cs="Arial"/>
              </w:rPr>
              <w:t xml:space="preserve"> </w:t>
            </w:r>
            <w:proofErr w:type="spellStart"/>
            <w:r>
              <w:rPr>
                <w:rFonts w:ascii="Arial" w:eastAsia="Times New Roman" w:hAnsi="Arial" w:cs="Arial"/>
              </w:rPr>
              <w:t>ePA</w:t>
            </w:r>
            <w:proofErr w:type="spellEnd"/>
            <w:r>
              <w:rPr>
                <w:rFonts w:ascii="Arial" w:eastAsia="Times New Roman" w:hAnsi="Arial" w:cs="Arial"/>
              </w:rPr>
              <w:t xml:space="preserve"> software, or by completing a standard Prior Authorization Request Form and faxing directly to Express Scripts Prior Authorization department. Submission of medical chart notes / patient drug history may be required for these Step Therapy Exceptions. Wellfleet delegates the act of Utilization Review to Express Scripts (ESI), however the application of the Step Therapy NQTL and the guidelines that drive the decisions by ESI are approved by Wellfleet’s internal Pharmacy and Therapeutics Committee (P&amp;T) and Value Assessment Committee (VAC). They are reviewed by the P&amp;T Committee, and ultimately subject to approval by the VAC Committee on an annual basis.  </w:t>
            </w:r>
          </w:p>
          <w:p w14:paraId="58B3BC0F" w14:textId="77777777" w:rsidR="00C87444" w:rsidRDefault="00C87444">
            <w:pPr>
              <w:rPr>
                <w:rFonts w:ascii="Arial" w:eastAsia="Times New Roman" w:hAnsi="Arial" w:cs="Arial"/>
              </w:rPr>
            </w:pPr>
            <w:r>
              <w:rPr>
                <w:rFonts w:ascii="Arial" w:eastAsia="Times New Roman" w:hAnsi="Arial" w:cs="Arial"/>
              </w:rPr>
              <w:t xml:space="preserve">Whether to recommend a step therapy policy for a drug is based on three factors: 1) high variability in cost within drugs </w:t>
            </w:r>
            <w:proofErr w:type="gramStart"/>
            <w:r>
              <w:rPr>
                <w:rFonts w:ascii="Arial" w:eastAsia="Times New Roman" w:hAnsi="Arial" w:cs="Arial"/>
              </w:rPr>
              <w:t>in a given</w:t>
            </w:r>
            <w:proofErr w:type="gramEnd"/>
            <w:r>
              <w:rPr>
                <w:rFonts w:ascii="Arial" w:eastAsia="Times New Roman" w:hAnsi="Arial" w:cs="Arial"/>
              </w:rPr>
              <w:t xml:space="preserve"> therapeutic class, 2) availability of cost-effective alternatives, and 3) member impact. These factors are based on First Databank (FDB), internal market and competitive analysis, therapeutic class total net cost analysis, FDA prescribing information, professionally recognized treatment guidelines, peer-reviewed medical literature, internal claims data, internal </w:t>
            </w:r>
            <w:proofErr w:type="gramStart"/>
            <w:r>
              <w:rPr>
                <w:rFonts w:ascii="Arial" w:eastAsia="Times New Roman" w:hAnsi="Arial" w:cs="Arial"/>
              </w:rPr>
              <w:t>market</w:t>
            </w:r>
            <w:proofErr w:type="gramEnd"/>
            <w:r>
              <w:rPr>
                <w:rFonts w:ascii="Arial" w:eastAsia="Times New Roman" w:hAnsi="Arial" w:cs="Arial"/>
              </w:rPr>
              <w:t xml:space="preserve"> and competitive analysis. These factors, standards and sources are the same regardless of whether a drug is a M/S or MH/SUD drug.</w:t>
            </w:r>
          </w:p>
          <w:p w14:paraId="499349C7" w14:textId="77777777" w:rsidR="00C87444" w:rsidRDefault="00C87444">
            <w:pPr>
              <w:rPr>
                <w:rFonts w:ascii="Arial" w:eastAsia="Times New Roman" w:hAnsi="Arial" w:cs="Arial"/>
              </w:rPr>
            </w:pPr>
            <w:proofErr w:type="gramStart"/>
            <w:r>
              <w:rPr>
                <w:rFonts w:ascii="Arial" w:eastAsia="Times New Roman" w:hAnsi="Arial" w:cs="Arial"/>
              </w:rPr>
              <w:t>Thus</w:t>
            </w:r>
            <w:proofErr w:type="gramEnd"/>
            <w:r>
              <w:rPr>
                <w:rFonts w:ascii="Arial" w:eastAsia="Times New Roman" w:hAnsi="Arial" w:cs="Arial"/>
              </w:rPr>
              <w:t xml:space="preserve"> we conclude that </w:t>
            </w:r>
            <w:r>
              <w:rPr>
                <w:rFonts w:ascii="Arial" w:eastAsia="Times New Roman" w:hAnsi="Arial" w:cs="Arial"/>
                <w:bCs/>
              </w:rPr>
              <w:t xml:space="preserve">the processes, strategies, evidentiary standards, and other factors used to apply Step Therapy to MH/SUD drugs, </w:t>
            </w:r>
            <w:r>
              <w:rPr>
                <w:rFonts w:ascii="Arial" w:eastAsia="Times New Roman" w:hAnsi="Arial" w:cs="Arial"/>
                <w:bCs/>
                <w:i/>
                <w:u w:val="single"/>
              </w:rPr>
              <w:t>as written</w:t>
            </w:r>
            <w:r>
              <w:rPr>
                <w:rFonts w:ascii="Arial" w:eastAsia="Times New Roman" w:hAnsi="Arial" w:cs="Arial"/>
                <w:bCs/>
              </w:rPr>
              <w:t>, are comparable to, and are applied no more stringently than, the processes, strategies, evidentiary standards, and other factors used to apply Step Therapy to M/S drugs.</w:t>
            </w:r>
          </w:p>
          <w:p w14:paraId="46F755C9" w14:textId="77777777" w:rsidR="00C87444" w:rsidRDefault="00C87444">
            <w:pPr>
              <w:rPr>
                <w:rFonts w:ascii="Arial" w:eastAsia="Times New Roman" w:hAnsi="Arial" w:cs="Arial"/>
              </w:rPr>
            </w:pPr>
            <w:r>
              <w:rPr>
                <w:rFonts w:ascii="Arial" w:eastAsia="Times New Roman" w:hAnsi="Arial" w:cs="Arial"/>
                <w:b/>
                <w:bCs/>
              </w:rPr>
              <w:t>In Operation:</w:t>
            </w:r>
            <w:r>
              <w:rPr>
                <w:rFonts w:ascii="Arial" w:eastAsia="Times New Roman" w:hAnsi="Arial" w:cs="Arial"/>
              </w:rPr>
              <w:t xml:space="preserve"> In operation, for both M/S and MH/SUD drugs, authorization approval rates are highly similar, and timelines adhere to NCQA and state standards.  Finally, the percentage of MH/SUD drugs subject to Step Therapy (8.1%) is slightly higher than the percentage of M/S drugs subject to Step Therapy (3.3%), though a fewer number of MH/SUD drugs require Step Therapy (772) vs M/S drugs (8742) and, overall, very few drugs in general require Step Therapy (63/772 MH/SUD and 285/8742 M/S drugs require Step Therapy).</w:t>
            </w:r>
            <w:r>
              <w:rPr>
                <w:rFonts w:ascii="Arial" w:eastAsia="Times New Roman" w:hAnsi="Arial" w:cs="Arial"/>
              </w:rPr>
              <w:tab/>
              <w:t xml:space="preserve">The data demonstrates that the same percentage of step therapy requests are approved for MH/SUD drugs. Therefore, MH/SUD drugs are not being treated more stringently compared to M/S drugs. </w:t>
            </w:r>
          </w:p>
          <w:p w14:paraId="18AEF189" w14:textId="77777777" w:rsidR="00C87444" w:rsidRDefault="00C87444">
            <w:pPr>
              <w:rPr>
                <w:rFonts w:ascii="Arial" w:eastAsia="Times New Roman" w:hAnsi="Arial" w:cs="Arial"/>
              </w:rPr>
            </w:pPr>
            <w:proofErr w:type="gramStart"/>
            <w:r>
              <w:rPr>
                <w:rFonts w:ascii="Arial" w:eastAsia="Times New Roman" w:hAnsi="Arial" w:cs="Arial"/>
              </w:rPr>
              <w:t>Thus</w:t>
            </w:r>
            <w:proofErr w:type="gramEnd"/>
            <w:r>
              <w:rPr>
                <w:rFonts w:ascii="Arial" w:eastAsia="Times New Roman" w:hAnsi="Arial" w:cs="Arial"/>
              </w:rPr>
              <w:t xml:space="preserve"> we conclude that </w:t>
            </w:r>
            <w:r>
              <w:rPr>
                <w:rFonts w:ascii="Arial" w:eastAsia="Times New Roman" w:hAnsi="Arial" w:cs="Arial"/>
                <w:bCs/>
              </w:rPr>
              <w:t xml:space="preserve">the processes, strategies, evidentiary standards, and other factors used to apply Step Therapy to MH/SUD drugs, </w:t>
            </w:r>
            <w:r>
              <w:rPr>
                <w:rFonts w:ascii="Arial" w:eastAsia="Times New Roman" w:hAnsi="Arial" w:cs="Arial"/>
                <w:bCs/>
                <w:i/>
                <w:u w:val="single"/>
              </w:rPr>
              <w:t>in operation</w:t>
            </w:r>
            <w:r>
              <w:rPr>
                <w:rFonts w:ascii="Arial" w:eastAsia="Times New Roman" w:hAnsi="Arial" w:cs="Arial"/>
                <w:bCs/>
              </w:rPr>
              <w:t>, are comparable to, and are applied no more stringently than, the processes, strategies, evidentiary standards, and other factors used to apply Step Therapy to M/S drugs.</w:t>
            </w:r>
          </w:p>
          <w:p w14:paraId="7AE4A793" w14:textId="550E77D9" w:rsidR="00C87444" w:rsidRPr="00C87444" w:rsidRDefault="00C87444">
            <w:r>
              <w:rPr>
                <w:rFonts w:ascii="Arial" w:eastAsia="Arial" w:hAnsi="Arial" w:cs="Arial"/>
                <w:b/>
                <w:bCs/>
              </w:rPr>
              <w:t>Conclusion</w:t>
            </w:r>
            <w:r>
              <w:rPr>
                <w:rFonts w:ascii="Arial" w:eastAsia="Arial" w:hAnsi="Arial" w:cs="Arial"/>
              </w:rPr>
              <w:t>: Wellfleet has determined that step therapy is applied for MH/SUD drugs in a manner that is comparable to and no more stringent than that of M/S drugs, both as written and in operation, based on the information presented above that describes in detail the evidentiary standards, processes, strategies, and factors used to impose step therapy.</w:t>
            </w:r>
          </w:p>
        </w:tc>
        <w:bookmarkEnd w:id="36"/>
      </w:tr>
    </w:tbl>
    <w:p w14:paraId="467F12FF" w14:textId="77777777" w:rsidR="0094211C" w:rsidRDefault="0094211C" w:rsidP="00C865B3">
      <w:pPr>
        <w:pStyle w:val="ListParagraph"/>
        <w:ind w:left="0"/>
        <w:rPr>
          <w:rFonts w:ascii="Century Gothic" w:hAnsi="Century Gothic" w:cs="Times New Roman"/>
        </w:rPr>
      </w:pPr>
    </w:p>
    <w:p w14:paraId="7AA184DF" w14:textId="77777777" w:rsidR="00FD0F3F" w:rsidRPr="00FD0F3F" w:rsidRDefault="00FD0F3F" w:rsidP="00FD0F3F">
      <w:pPr>
        <w:spacing w:line="256" w:lineRule="auto"/>
        <w:rPr>
          <w:rFonts w:ascii="Century Gothic" w:hAnsi="Century Gothic" w:cs="Times New Roman"/>
          <w:b/>
          <w:u w:val="single"/>
        </w:rPr>
      </w:pPr>
      <w:r w:rsidRPr="00FD0F3F">
        <w:rPr>
          <w:rFonts w:ascii="Century Gothic" w:hAnsi="Century Gothic" w:cs="Times New Roman"/>
          <w:b/>
          <w:u w:val="single"/>
        </w:rPr>
        <w:t>Emergency Services</w:t>
      </w:r>
    </w:p>
    <w:p w14:paraId="21734C2F" w14:textId="77777777" w:rsidR="00FD0F3F" w:rsidRDefault="00FD0F3F" w:rsidP="00FD0F3F">
      <w:pPr>
        <w:pStyle w:val="ListParagraph"/>
        <w:rPr>
          <w:rFonts w:ascii="Century Gothic" w:hAnsi="Century Gothic" w:cs="Times New Roman"/>
          <w:bCs/>
        </w:rPr>
      </w:pPr>
      <w:r>
        <w:rPr>
          <w:rFonts w:ascii="Century Gothic" w:hAnsi="Century Gothic" w:cs="Times New Roman"/>
        </w:rPr>
        <w:t xml:space="preserve">Emergency Services </w:t>
      </w:r>
      <w:r>
        <w:rPr>
          <w:rFonts w:ascii="Century Gothic" w:hAnsi="Century Gothic" w:cs="Times New Roman"/>
          <w:bCs/>
        </w:rPr>
        <w:t xml:space="preserve">does not impact the scope of care, treatment or benefits delivered to MH/SUD services and does not function as an NQTL under the parity requirements. </w:t>
      </w:r>
    </w:p>
    <w:p w14:paraId="5F3E7393" w14:textId="77777777" w:rsidR="00FD0F3F" w:rsidRDefault="00FD0F3F" w:rsidP="00FD0F3F">
      <w:pPr>
        <w:pStyle w:val="ListParagraph"/>
        <w:rPr>
          <w:rFonts w:ascii="Century Gothic" w:hAnsi="Century Gothic" w:cs="Times New Roman"/>
        </w:rPr>
      </w:pPr>
    </w:p>
    <w:p w14:paraId="79E4B9B2" w14:textId="77777777" w:rsidR="00FD0F3F" w:rsidRPr="00FD0F3F" w:rsidRDefault="00FD0F3F" w:rsidP="00FD0F3F">
      <w:pPr>
        <w:spacing w:line="256" w:lineRule="auto"/>
        <w:rPr>
          <w:rFonts w:ascii="Century Gothic" w:hAnsi="Century Gothic" w:cs="Times New Roman"/>
          <w:b/>
          <w:u w:val="single"/>
        </w:rPr>
      </w:pPr>
      <w:r w:rsidRPr="00FD0F3F">
        <w:rPr>
          <w:rFonts w:ascii="Century Gothic" w:hAnsi="Century Gothic" w:cs="Times New Roman"/>
          <w:b/>
          <w:u w:val="single"/>
        </w:rPr>
        <w:t>Case Management</w:t>
      </w:r>
    </w:p>
    <w:p w14:paraId="56B4E610" w14:textId="77777777" w:rsidR="00FD0F3F" w:rsidRDefault="00FD0F3F" w:rsidP="00FD0F3F">
      <w:pPr>
        <w:pStyle w:val="ListParagraph"/>
        <w:rPr>
          <w:rFonts w:ascii="Century Gothic" w:hAnsi="Century Gothic" w:cs="Times New Roman"/>
          <w:bCs/>
        </w:rPr>
      </w:pPr>
      <w:r>
        <w:rPr>
          <w:rFonts w:ascii="Century Gothic" w:hAnsi="Century Gothic" w:cs="Times New Roman"/>
          <w:bCs/>
        </w:rPr>
        <w:t xml:space="preserve">Case Management </w:t>
      </w:r>
      <w:bookmarkStart w:id="38" w:name="OLE_LINK26"/>
      <w:r>
        <w:rPr>
          <w:rFonts w:ascii="Century Gothic" w:hAnsi="Century Gothic" w:cs="Times New Roman"/>
          <w:bCs/>
        </w:rPr>
        <w:t xml:space="preserve">does not impact the scope of care, treatment or benefits delivered to MH/SUD services and does not function as an NQTL under the parity requirements. </w:t>
      </w:r>
    </w:p>
    <w:bookmarkEnd w:id="38"/>
    <w:p w14:paraId="74EACC26" w14:textId="77777777" w:rsidR="00FD0F3F" w:rsidRDefault="00FD0F3F" w:rsidP="00FD0F3F">
      <w:pPr>
        <w:pStyle w:val="ListParagraph"/>
        <w:rPr>
          <w:rFonts w:ascii="Century Gothic" w:hAnsi="Century Gothic" w:cs="Times New Roman"/>
          <w:bCs/>
        </w:rPr>
      </w:pPr>
      <w:r>
        <w:rPr>
          <w:rFonts w:ascii="Century Gothic" w:hAnsi="Century Gothic" w:cs="Times New Roman"/>
          <w:bCs/>
        </w:rPr>
        <w:t xml:space="preserve">Wellfleet provides voluntary case management services which includes providing </w:t>
      </w:r>
      <w:proofErr w:type="gramStart"/>
      <w:r>
        <w:rPr>
          <w:rFonts w:ascii="Century Gothic" w:hAnsi="Century Gothic" w:cs="Times New Roman"/>
          <w:bCs/>
        </w:rPr>
        <w:t>educational</w:t>
      </w:r>
      <w:proofErr w:type="gramEnd"/>
      <w:r>
        <w:rPr>
          <w:rFonts w:ascii="Century Gothic" w:hAnsi="Century Gothic" w:cs="Times New Roman"/>
          <w:bCs/>
        </w:rPr>
        <w:t xml:space="preserve"> </w:t>
      </w:r>
    </w:p>
    <w:p w14:paraId="6EA6D3EC" w14:textId="77777777" w:rsidR="00FD0F3F" w:rsidRDefault="00FD0F3F" w:rsidP="00FD0F3F">
      <w:pPr>
        <w:pStyle w:val="ListParagraph"/>
        <w:rPr>
          <w:rFonts w:ascii="Century Gothic" w:hAnsi="Century Gothic" w:cs="Times New Roman"/>
          <w:bCs/>
        </w:rPr>
      </w:pPr>
      <w:r>
        <w:rPr>
          <w:rFonts w:ascii="Century Gothic" w:hAnsi="Century Gothic" w:cs="Times New Roman"/>
          <w:bCs/>
        </w:rPr>
        <w:t>information, assessment/evaluation, planning, facilitation, care coordination, discharge planning and other services to meet an individual’s and family’s comprehensive health care needs.</w:t>
      </w:r>
    </w:p>
    <w:p w14:paraId="111D0A56" w14:textId="77777777" w:rsidR="00FD0F3F" w:rsidRDefault="00FD0F3F" w:rsidP="00FD0F3F">
      <w:pPr>
        <w:pStyle w:val="ListParagraph"/>
        <w:rPr>
          <w:rFonts w:ascii="Century Gothic" w:hAnsi="Century Gothic" w:cs="Times New Roman"/>
          <w:bCs/>
        </w:rPr>
      </w:pPr>
      <w:r>
        <w:rPr>
          <w:rFonts w:ascii="Century Gothic" w:hAnsi="Century Gothic" w:cs="Times New Roman"/>
          <w:bCs/>
        </w:rPr>
        <w:t xml:space="preserve">Participation in case management services is not required, and an enrollee’s participation in </w:t>
      </w:r>
      <w:proofErr w:type="gramStart"/>
      <w:r>
        <w:rPr>
          <w:rFonts w:ascii="Century Gothic" w:hAnsi="Century Gothic" w:cs="Times New Roman"/>
          <w:bCs/>
        </w:rPr>
        <w:t>case</w:t>
      </w:r>
      <w:proofErr w:type="gramEnd"/>
    </w:p>
    <w:p w14:paraId="222233A0" w14:textId="77777777" w:rsidR="00FD0F3F" w:rsidRDefault="00FD0F3F" w:rsidP="00FD0F3F">
      <w:pPr>
        <w:pStyle w:val="ListParagraph"/>
        <w:rPr>
          <w:rFonts w:ascii="Century Gothic" w:hAnsi="Century Gothic" w:cs="Times New Roman"/>
          <w:bCs/>
        </w:rPr>
      </w:pPr>
      <w:r>
        <w:rPr>
          <w:rFonts w:ascii="Century Gothic" w:hAnsi="Century Gothic" w:cs="Times New Roman"/>
          <w:bCs/>
        </w:rPr>
        <w:t xml:space="preserve">management services </w:t>
      </w:r>
      <w:proofErr w:type="gramStart"/>
      <w:r>
        <w:rPr>
          <w:rFonts w:ascii="Century Gothic" w:hAnsi="Century Gothic" w:cs="Times New Roman"/>
          <w:bCs/>
        </w:rPr>
        <w:t>does</w:t>
      </w:r>
      <w:proofErr w:type="gramEnd"/>
      <w:r>
        <w:rPr>
          <w:rFonts w:ascii="Century Gothic" w:hAnsi="Century Gothic" w:cs="Times New Roman"/>
          <w:bCs/>
        </w:rPr>
        <w:t xml:space="preserve"> not limit the scope or duration of benefits for either MH/SUD or M/S</w:t>
      </w:r>
    </w:p>
    <w:p w14:paraId="15234550" w14:textId="77777777" w:rsidR="00FD0F3F" w:rsidRDefault="00FD0F3F" w:rsidP="00FD0F3F">
      <w:pPr>
        <w:pStyle w:val="ListParagraph"/>
        <w:rPr>
          <w:rFonts w:ascii="Century Gothic" w:hAnsi="Century Gothic" w:cs="Times New Roman"/>
          <w:bCs/>
        </w:rPr>
      </w:pPr>
      <w:r>
        <w:rPr>
          <w:rFonts w:ascii="Century Gothic" w:hAnsi="Century Gothic" w:cs="Times New Roman"/>
          <w:bCs/>
        </w:rPr>
        <w:t xml:space="preserve">benefits.  Consequently, case management does not function as an NQTL under the cited parity requirements. </w:t>
      </w:r>
    </w:p>
    <w:p w14:paraId="0526CCC8" w14:textId="77777777" w:rsidR="00FD0F3F" w:rsidRDefault="00FD0F3F" w:rsidP="00FD0F3F">
      <w:pPr>
        <w:pStyle w:val="ListParagraph"/>
        <w:rPr>
          <w:rFonts w:ascii="Century Gothic" w:hAnsi="Century Gothic" w:cs="Times New Roman"/>
          <w:b/>
          <w:u w:val="single"/>
        </w:rPr>
      </w:pPr>
    </w:p>
    <w:tbl>
      <w:tblPr>
        <w:tblW w:w="5000" w:type="pct"/>
        <w:tblLook w:val="04A0" w:firstRow="1" w:lastRow="0" w:firstColumn="1" w:lastColumn="0" w:noHBand="0" w:noVBand="1"/>
      </w:tblPr>
      <w:tblGrid>
        <w:gridCol w:w="1035"/>
        <w:gridCol w:w="1251"/>
        <w:gridCol w:w="1246"/>
        <w:gridCol w:w="1946"/>
        <w:gridCol w:w="1718"/>
        <w:gridCol w:w="1190"/>
        <w:gridCol w:w="964"/>
      </w:tblGrid>
      <w:tr w:rsidR="00C865B3" w:rsidRPr="00C865B3" w14:paraId="1F17E837" w14:textId="77777777" w:rsidTr="00C865B3">
        <w:trPr>
          <w:trHeight w:val="720"/>
        </w:trPr>
        <w:tc>
          <w:tcPr>
            <w:tcW w:w="5000" w:type="pct"/>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9ED4909" w14:textId="77777777" w:rsidR="00C865B3" w:rsidRPr="00FD0F3F" w:rsidRDefault="00C865B3" w:rsidP="00C865B3">
            <w:pPr>
              <w:spacing w:after="0" w:line="240" w:lineRule="auto"/>
              <w:jc w:val="center"/>
              <w:rPr>
                <w:rFonts w:ascii="Century Gothic" w:eastAsia="Times New Roman" w:hAnsi="Century Gothic" w:cs="Arial"/>
                <w:b/>
                <w:bCs/>
              </w:rPr>
            </w:pPr>
            <w:r w:rsidRPr="00FD0F3F">
              <w:rPr>
                <w:rFonts w:ascii="Century Gothic" w:eastAsia="Times New Roman" w:hAnsi="Century Gothic" w:cs="Arial"/>
                <w:b/>
                <w:bCs/>
              </w:rPr>
              <w:t>MHPAEA Data Report for Calendar Year Ending December 31, 2023 (§15–144(f))</w:t>
            </w:r>
          </w:p>
        </w:tc>
      </w:tr>
      <w:tr w:rsidR="00C865B3" w:rsidRPr="00C865B3" w14:paraId="3C354037" w14:textId="77777777" w:rsidTr="00FD0F3F">
        <w:trPr>
          <w:trHeight w:val="1140"/>
        </w:trPr>
        <w:tc>
          <w:tcPr>
            <w:tcW w:w="1425" w:type="pct"/>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14:paraId="733448E3" w14:textId="77777777" w:rsidR="00C865B3" w:rsidRPr="00C865B3" w:rsidRDefault="00C865B3" w:rsidP="00C865B3">
            <w:pPr>
              <w:spacing w:after="0" w:line="240" w:lineRule="auto"/>
              <w:jc w:val="center"/>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Health Plan</w:t>
            </w:r>
          </w:p>
        </w:tc>
        <w:tc>
          <w:tcPr>
            <w:tcW w:w="3575" w:type="pct"/>
            <w:gridSpan w:val="5"/>
            <w:tcBorders>
              <w:top w:val="nil"/>
              <w:left w:val="single" w:sz="4" w:space="0" w:color="auto"/>
              <w:bottom w:val="nil"/>
              <w:right w:val="nil"/>
            </w:tcBorders>
            <w:shd w:val="clear" w:color="000000" w:fill="FFFF00"/>
            <w:vAlign w:val="center"/>
            <w:hideMark/>
          </w:tcPr>
          <w:p w14:paraId="37DD3489"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McDaniel College</w:t>
            </w:r>
            <w:r w:rsidRPr="00C865B3">
              <w:rPr>
                <w:rFonts w:ascii="Century Gothic" w:eastAsia="Times New Roman" w:hAnsi="Century Gothic" w:cs="Calibri"/>
                <w:sz w:val="18"/>
                <w:szCs w:val="18"/>
              </w:rPr>
              <w:br/>
              <w:t>Washington College</w:t>
            </w:r>
            <w:r w:rsidRPr="00C865B3">
              <w:rPr>
                <w:rFonts w:ascii="Century Gothic" w:eastAsia="Times New Roman" w:hAnsi="Century Gothic" w:cs="Calibri"/>
                <w:sz w:val="18"/>
                <w:szCs w:val="18"/>
              </w:rPr>
              <w:br/>
              <w:t>St Johns College</w:t>
            </w:r>
          </w:p>
        </w:tc>
      </w:tr>
      <w:tr w:rsidR="00C865B3" w:rsidRPr="00C865B3" w14:paraId="57EF5DDF" w14:textId="77777777" w:rsidTr="00FD0F3F">
        <w:trPr>
          <w:trHeight w:val="800"/>
        </w:trPr>
        <w:tc>
          <w:tcPr>
            <w:tcW w:w="693"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61ED4CA7"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Benefit</w:t>
            </w:r>
          </w:p>
        </w:tc>
        <w:tc>
          <w:tcPr>
            <w:tcW w:w="732" w:type="pct"/>
            <w:tcBorders>
              <w:top w:val="single" w:sz="4" w:space="0" w:color="auto"/>
              <w:left w:val="nil"/>
              <w:bottom w:val="single" w:sz="4" w:space="0" w:color="auto"/>
              <w:right w:val="single" w:sz="4" w:space="0" w:color="auto"/>
            </w:tcBorders>
            <w:shd w:val="clear" w:color="000000" w:fill="92D050"/>
            <w:vAlign w:val="center"/>
            <w:hideMark/>
          </w:tcPr>
          <w:p w14:paraId="67A2983A"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xml:space="preserve">Classification </w:t>
            </w:r>
          </w:p>
        </w:tc>
        <w:tc>
          <w:tcPr>
            <w:tcW w:w="729" w:type="pct"/>
            <w:tcBorders>
              <w:top w:val="single" w:sz="4" w:space="0" w:color="auto"/>
              <w:left w:val="nil"/>
              <w:bottom w:val="single" w:sz="4" w:space="0" w:color="auto"/>
              <w:right w:val="single" w:sz="4" w:space="0" w:color="auto"/>
            </w:tcBorders>
            <w:shd w:val="clear" w:color="000000" w:fill="92D050"/>
            <w:vAlign w:val="center"/>
            <w:hideMark/>
          </w:tcPr>
          <w:p w14:paraId="63B6E90C"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 of Authorization Requests Received</w:t>
            </w:r>
          </w:p>
        </w:tc>
        <w:tc>
          <w:tcPr>
            <w:tcW w:w="729" w:type="pct"/>
            <w:tcBorders>
              <w:top w:val="single" w:sz="4" w:space="0" w:color="auto"/>
              <w:left w:val="nil"/>
              <w:bottom w:val="single" w:sz="4" w:space="0" w:color="auto"/>
              <w:right w:val="single" w:sz="4" w:space="0" w:color="auto"/>
            </w:tcBorders>
            <w:shd w:val="clear" w:color="000000" w:fill="92D050"/>
            <w:vAlign w:val="center"/>
            <w:hideMark/>
          </w:tcPr>
          <w:p w14:paraId="7B17547C"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 of Authorization Requests Approved</w:t>
            </w:r>
          </w:p>
        </w:tc>
        <w:tc>
          <w:tcPr>
            <w:tcW w:w="729" w:type="pct"/>
            <w:tcBorders>
              <w:top w:val="single" w:sz="4" w:space="0" w:color="auto"/>
              <w:left w:val="nil"/>
              <w:bottom w:val="single" w:sz="4" w:space="0" w:color="auto"/>
              <w:right w:val="single" w:sz="4" w:space="0" w:color="auto"/>
            </w:tcBorders>
            <w:shd w:val="clear" w:color="000000" w:fill="92D050"/>
            <w:vAlign w:val="center"/>
            <w:hideMark/>
          </w:tcPr>
          <w:p w14:paraId="4911252A"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 of Authorization Requests Denied</w:t>
            </w:r>
          </w:p>
        </w:tc>
        <w:tc>
          <w:tcPr>
            <w:tcW w:w="693" w:type="pct"/>
            <w:tcBorders>
              <w:top w:val="single" w:sz="4" w:space="0" w:color="auto"/>
              <w:left w:val="nil"/>
              <w:bottom w:val="single" w:sz="4" w:space="0" w:color="auto"/>
              <w:right w:val="single" w:sz="4" w:space="0" w:color="auto"/>
            </w:tcBorders>
            <w:shd w:val="clear" w:color="000000" w:fill="92D050"/>
            <w:vAlign w:val="center"/>
            <w:hideMark/>
          </w:tcPr>
          <w:p w14:paraId="31CB8983" w14:textId="77777777" w:rsidR="00C865B3" w:rsidRPr="00C865B3" w:rsidRDefault="00C865B3" w:rsidP="00C865B3">
            <w:pPr>
              <w:spacing w:after="0" w:line="240" w:lineRule="auto"/>
              <w:jc w:val="center"/>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xml:space="preserve">% Approved </w:t>
            </w:r>
          </w:p>
        </w:tc>
        <w:tc>
          <w:tcPr>
            <w:tcW w:w="695" w:type="pct"/>
            <w:tcBorders>
              <w:top w:val="single" w:sz="4" w:space="0" w:color="auto"/>
              <w:left w:val="nil"/>
              <w:bottom w:val="single" w:sz="4" w:space="0" w:color="auto"/>
              <w:right w:val="single" w:sz="4" w:space="0" w:color="auto"/>
            </w:tcBorders>
            <w:shd w:val="clear" w:color="000000" w:fill="92D050"/>
            <w:vAlign w:val="center"/>
            <w:hideMark/>
          </w:tcPr>
          <w:p w14:paraId="6867247A" w14:textId="77777777" w:rsidR="00C865B3" w:rsidRPr="00C865B3" w:rsidRDefault="00C865B3" w:rsidP="00C865B3">
            <w:pPr>
              <w:spacing w:after="0" w:line="240" w:lineRule="auto"/>
              <w:jc w:val="center"/>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Denied</w:t>
            </w:r>
          </w:p>
        </w:tc>
      </w:tr>
      <w:tr w:rsidR="00C865B3" w:rsidRPr="00C865B3" w14:paraId="5A04DBCC" w14:textId="77777777" w:rsidTr="00FD0F3F">
        <w:trPr>
          <w:trHeight w:val="720"/>
        </w:trPr>
        <w:tc>
          <w:tcPr>
            <w:tcW w:w="693" w:type="pct"/>
            <w:tcBorders>
              <w:top w:val="nil"/>
              <w:left w:val="nil"/>
              <w:bottom w:val="nil"/>
              <w:right w:val="nil"/>
            </w:tcBorders>
            <w:shd w:val="clear" w:color="000000" w:fill="D9D9D9"/>
            <w:vAlign w:val="center"/>
            <w:hideMark/>
          </w:tcPr>
          <w:p w14:paraId="14F11007"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Mental Health Benefits</w:t>
            </w:r>
          </w:p>
        </w:tc>
        <w:tc>
          <w:tcPr>
            <w:tcW w:w="732" w:type="pct"/>
            <w:tcBorders>
              <w:top w:val="nil"/>
              <w:left w:val="nil"/>
              <w:bottom w:val="nil"/>
              <w:right w:val="nil"/>
            </w:tcBorders>
            <w:shd w:val="clear" w:color="000000" w:fill="D9D9D9"/>
            <w:vAlign w:val="center"/>
            <w:hideMark/>
          </w:tcPr>
          <w:p w14:paraId="7F00921D"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INN-Inpatient</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53F25DDE"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132</w:t>
            </w:r>
          </w:p>
        </w:tc>
        <w:tc>
          <w:tcPr>
            <w:tcW w:w="729" w:type="pct"/>
            <w:tcBorders>
              <w:top w:val="nil"/>
              <w:left w:val="nil"/>
              <w:bottom w:val="single" w:sz="4" w:space="0" w:color="auto"/>
              <w:right w:val="single" w:sz="4" w:space="0" w:color="auto"/>
            </w:tcBorders>
            <w:shd w:val="clear" w:color="000000" w:fill="FFFF00"/>
            <w:noWrap/>
            <w:vAlign w:val="center"/>
            <w:hideMark/>
          </w:tcPr>
          <w:p w14:paraId="1407E6E4"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132</w:t>
            </w:r>
          </w:p>
        </w:tc>
        <w:tc>
          <w:tcPr>
            <w:tcW w:w="729" w:type="pct"/>
            <w:tcBorders>
              <w:top w:val="nil"/>
              <w:left w:val="nil"/>
              <w:bottom w:val="single" w:sz="4" w:space="0" w:color="auto"/>
              <w:right w:val="single" w:sz="4" w:space="0" w:color="auto"/>
            </w:tcBorders>
            <w:shd w:val="clear" w:color="000000" w:fill="FFFF00"/>
            <w:noWrap/>
            <w:vAlign w:val="center"/>
            <w:hideMark/>
          </w:tcPr>
          <w:p w14:paraId="0E31791F"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1B0047E5"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74D2E76B"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C865B3" w:rsidRPr="00C865B3" w14:paraId="5635E29E" w14:textId="77777777" w:rsidTr="00FD0F3F">
        <w:trPr>
          <w:trHeight w:val="720"/>
        </w:trPr>
        <w:tc>
          <w:tcPr>
            <w:tcW w:w="693" w:type="pct"/>
            <w:tcBorders>
              <w:top w:val="nil"/>
              <w:left w:val="nil"/>
              <w:bottom w:val="nil"/>
              <w:right w:val="nil"/>
            </w:tcBorders>
            <w:shd w:val="clear" w:color="000000" w:fill="D9D9D9"/>
            <w:vAlign w:val="center"/>
            <w:hideMark/>
          </w:tcPr>
          <w:p w14:paraId="0770F88E"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13FC1217"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OON-Inpatient</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484EC02A"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8</w:t>
            </w:r>
          </w:p>
        </w:tc>
        <w:tc>
          <w:tcPr>
            <w:tcW w:w="729" w:type="pct"/>
            <w:tcBorders>
              <w:top w:val="nil"/>
              <w:left w:val="nil"/>
              <w:bottom w:val="single" w:sz="4" w:space="0" w:color="auto"/>
              <w:right w:val="single" w:sz="4" w:space="0" w:color="auto"/>
            </w:tcBorders>
            <w:shd w:val="clear" w:color="000000" w:fill="FFFF00"/>
            <w:noWrap/>
            <w:vAlign w:val="center"/>
            <w:hideMark/>
          </w:tcPr>
          <w:p w14:paraId="102EF3DC"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8</w:t>
            </w:r>
          </w:p>
        </w:tc>
        <w:tc>
          <w:tcPr>
            <w:tcW w:w="729" w:type="pct"/>
            <w:tcBorders>
              <w:top w:val="nil"/>
              <w:left w:val="nil"/>
              <w:bottom w:val="single" w:sz="4" w:space="0" w:color="auto"/>
              <w:right w:val="single" w:sz="4" w:space="0" w:color="auto"/>
            </w:tcBorders>
            <w:shd w:val="clear" w:color="000000" w:fill="FFFF00"/>
            <w:noWrap/>
            <w:vAlign w:val="center"/>
            <w:hideMark/>
          </w:tcPr>
          <w:p w14:paraId="744E0846"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70A05EF6"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5367F52F"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C865B3" w:rsidRPr="00C865B3" w14:paraId="035A47A2" w14:textId="77777777" w:rsidTr="00FD0F3F">
        <w:trPr>
          <w:trHeight w:val="720"/>
        </w:trPr>
        <w:tc>
          <w:tcPr>
            <w:tcW w:w="693" w:type="pct"/>
            <w:tcBorders>
              <w:top w:val="nil"/>
              <w:left w:val="nil"/>
              <w:bottom w:val="nil"/>
              <w:right w:val="nil"/>
            </w:tcBorders>
            <w:shd w:val="clear" w:color="000000" w:fill="D9D9D9"/>
            <w:vAlign w:val="center"/>
            <w:hideMark/>
          </w:tcPr>
          <w:p w14:paraId="6C43995E"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785FA068"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Emergency Services</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0799C054"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4</w:t>
            </w:r>
          </w:p>
        </w:tc>
        <w:tc>
          <w:tcPr>
            <w:tcW w:w="729" w:type="pct"/>
            <w:tcBorders>
              <w:top w:val="nil"/>
              <w:left w:val="nil"/>
              <w:bottom w:val="single" w:sz="4" w:space="0" w:color="auto"/>
              <w:right w:val="single" w:sz="4" w:space="0" w:color="auto"/>
            </w:tcBorders>
            <w:shd w:val="clear" w:color="000000" w:fill="FFFF00"/>
            <w:noWrap/>
            <w:vAlign w:val="center"/>
            <w:hideMark/>
          </w:tcPr>
          <w:p w14:paraId="30740473"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4</w:t>
            </w:r>
          </w:p>
        </w:tc>
        <w:tc>
          <w:tcPr>
            <w:tcW w:w="729" w:type="pct"/>
            <w:tcBorders>
              <w:top w:val="nil"/>
              <w:left w:val="nil"/>
              <w:bottom w:val="single" w:sz="4" w:space="0" w:color="auto"/>
              <w:right w:val="single" w:sz="4" w:space="0" w:color="auto"/>
            </w:tcBorders>
            <w:shd w:val="clear" w:color="000000" w:fill="FFFF00"/>
            <w:noWrap/>
            <w:vAlign w:val="center"/>
            <w:hideMark/>
          </w:tcPr>
          <w:p w14:paraId="6DDB7083"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16784F66"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208AAEA2"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C865B3" w:rsidRPr="00C865B3" w14:paraId="34993461" w14:textId="77777777" w:rsidTr="00FD0F3F">
        <w:trPr>
          <w:trHeight w:val="720"/>
        </w:trPr>
        <w:tc>
          <w:tcPr>
            <w:tcW w:w="693" w:type="pct"/>
            <w:tcBorders>
              <w:top w:val="nil"/>
              <w:left w:val="nil"/>
              <w:bottom w:val="nil"/>
              <w:right w:val="nil"/>
            </w:tcBorders>
            <w:shd w:val="clear" w:color="000000" w:fill="D9D9D9"/>
            <w:vAlign w:val="center"/>
            <w:hideMark/>
          </w:tcPr>
          <w:p w14:paraId="397ACFF8"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378926D3"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RX</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23A33C4E"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484D3309"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54ABAAAC"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58BF707C"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434B2362"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0987287D" w14:textId="77777777" w:rsidTr="00FD0F3F">
        <w:trPr>
          <w:trHeight w:val="720"/>
        </w:trPr>
        <w:tc>
          <w:tcPr>
            <w:tcW w:w="693" w:type="pct"/>
            <w:tcBorders>
              <w:top w:val="nil"/>
              <w:left w:val="nil"/>
              <w:bottom w:val="nil"/>
              <w:right w:val="nil"/>
            </w:tcBorders>
            <w:shd w:val="clear" w:color="000000" w:fill="D9D9D9"/>
            <w:vAlign w:val="center"/>
            <w:hideMark/>
          </w:tcPr>
          <w:p w14:paraId="747B358B"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35C1FA33"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INN-Outpatient-Office</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6DA85529"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6DD7EF8A"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100D85D6"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71D40A3A"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6E9948B5"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12A9676B" w14:textId="77777777" w:rsidTr="00FD0F3F">
        <w:trPr>
          <w:trHeight w:val="720"/>
        </w:trPr>
        <w:tc>
          <w:tcPr>
            <w:tcW w:w="693" w:type="pct"/>
            <w:tcBorders>
              <w:top w:val="nil"/>
              <w:left w:val="nil"/>
              <w:bottom w:val="nil"/>
              <w:right w:val="nil"/>
            </w:tcBorders>
            <w:shd w:val="clear" w:color="000000" w:fill="D9D9D9"/>
            <w:vAlign w:val="center"/>
            <w:hideMark/>
          </w:tcPr>
          <w:p w14:paraId="21290A12"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3E741308"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OON-Outpatient-Office</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060AE01E"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6A4499F1"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64D2917C"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7D242134"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6E1ABBF4"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0D5D761A" w14:textId="77777777" w:rsidTr="00FD0F3F">
        <w:trPr>
          <w:trHeight w:val="720"/>
        </w:trPr>
        <w:tc>
          <w:tcPr>
            <w:tcW w:w="693" w:type="pct"/>
            <w:tcBorders>
              <w:top w:val="nil"/>
              <w:left w:val="nil"/>
              <w:bottom w:val="nil"/>
              <w:right w:val="nil"/>
            </w:tcBorders>
            <w:shd w:val="clear" w:color="000000" w:fill="D9D9D9"/>
            <w:vAlign w:val="center"/>
            <w:hideMark/>
          </w:tcPr>
          <w:p w14:paraId="07F13D61"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4CCC6CFB"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597DC29B"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w:t>
            </w:r>
          </w:p>
        </w:tc>
        <w:tc>
          <w:tcPr>
            <w:tcW w:w="729" w:type="pct"/>
            <w:tcBorders>
              <w:top w:val="nil"/>
              <w:left w:val="nil"/>
              <w:bottom w:val="single" w:sz="4" w:space="0" w:color="auto"/>
              <w:right w:val="single" w:sz="4" w:space="0" w:color="auto"/>
            </w:tcBorders>
            <w:shd w:val="clear" w:color="000000" w:fill="FFFF00"/>
            <w:noWrap/>
            <w:vAlign w:val="center"/>
            <w:hideMark/>
          </w:tcPr>
          <w:p w14:paraId="489FA3F4"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2</w:t>
            </w:r>
          </w:p>
        </w:tc>
        <w:tc>
          <w:tcPr>
            <w:tcW w:w="729" w:type="pct"/>
            <w:tcBorders>
              <w:top w:val="nil"/>
              <w:left w:val="nil"/>
              <w:bottom w:val="single" w:sz="4" w:space="0" w:color="auto"/>
              <w:right w:val="single" w:sz="4" w:space="0" w:color="auto"/>
            </w:tcBorders>
            <w:shd w:val="clear" w:color="000000" w:fill="FFFF00"/>
            <w:noWrap/>
            <w:vAlign w:val="center"/>
            <w:hideMark/>
          </w:tcPr>
          <w:p w14:paraId="2F6193D8"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w:t>
            </w:r>
          </w:p>
        </w:tc>
        <w:tc>
          <w:tcPr>
            <w:tcW w:w="693" w:type="pct"/>
            <w:tcBorders>
              <w:top w:val="nil"/>
              <w:left w:val="nil"/>
              <w:bottom w:val="nil"/>
              <w:right w:val="nil"/>
            </w:tcBorders>
            <w:shd w:val="clear" w:color="000000" w:fill="D9D9D9"/>
            <w:noWrap/>
            <w:vAlign w:val="bottom"/>
            <w:hideMark/>
          </w:tcPr>
          <w:p w14:paraId="4D7194E4"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67%</w:t>
            </w:r>
          </w:p>
        </w:tc>
        <w:tc>
          <w:tcPr>
            <w:tcW w:w="695" w:type="pct"/>
            <w:tcBorders>
              <w:top w:val="nil"/>
              <w:left w:val="nil"/>
              <w:bottom w:val="nil"/>
              <w:right w:val="nil"/>
            </w:tcBorders>
            <w:shd w:val="clear" w:color="000000" w:fill="D9D9D9"/>
            <w:noWrap/>
            <w:vAlign w:val="bottom"/>
            <w:hideMark/>
          </w:tcPr>
          <w:p w14:paraId="1969DD5A"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33%</w:t>
            </w:r>
          </w:p>
        </w:tc>
      </w:tr>
      <w:tr w:rsidR="00C865B3" w:rsidRPr="00C865B3" w14:paraId="24A9F68A" w14:textId="77777777" w:rsidTr="00FD0F3F">
        <w:trPr>
          <w:trHeight w:val="720"/>
        </w:trPr>
        <w:tc>
          <w:tcPr>
            <w:tcW w:w="693" w:type="pct"/>
            <w:tcBorders>
              <w:top w:val="nil"/>
              <w:left w:val="nil"/>
              <w:bottom w:val="nil"/>
              <w:right w:val="nil"/>
            </w:tcBorders>
            <w:shd w:val="clear" w:color="000000" w:fill="D9D9D9"/>
            <w:vAlign w:val="center"/>
            <w:hideMark/>
          </w:tcPr>
          <w:p w14:paraId="558883F5"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713B36E7"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07B62126"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71227190"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516B9B72"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28374141"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6ACF101C"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24111BBE" w14:textId="77777777" w:rsidTr="00FD0F3F">
        <w:trPr>
          <w:trHeight w:val="720"/>
        </w:trPr>
        <w:tc>
          <w:tcPr>
            <w:tcW w:w="693" w:type="pct"/>
            <w:tcBorders>
              <w:top w:val="nil"/>
              <w:left w:val="nil"/>
              <w:bottom w:val="nil"/>
              <w:right w:val="nil"/>
            </w:tcBorders>
            <w:shd w:val="clear" w:color="000000" w:fill="D9D9D9"/>
            <w:vAlign w:val="center"/>
            <w:hideMark/>
          </w:tcPr>
          <w:p w14:paraId="2763C30F"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Substance Use Disorder Benefits</w:t>
            </w:r>
          </w:p>
        </w:tc>
        <w:tc>
          <w:tcPr>
            <w:tcW w:w="732" w:type="pct"/>
            <w:tcBorders>
              <w:top w:val="nil"/>
              <w:left w:val="nil"/>
              <w:bottom w:val="nil"/>
              <w:right w:val="nil"/>
            </w:tcBorders>
            <w:shd w:val="clear" w:color="000000" w:fill="D9D9D9"/>
            <w:vAlign w:val="center"/>
            <w:hideMark/>
          </w:tcPr>
          <w:p w14:paraId="393ECF65"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INN-Inpatient</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39A73154"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14</w:t>
            </w:r>
          </w:p>
        </w:tc>
        <w:tc>
          <w:tcPr>
            <w:tcW w:w="729" w:type="pct"/>
            <w:tcBorders>
              <w:top w:val="nil"/>
              <w:left w:val="nil"/>
              <w:bottom w:val="single" w:sz="4" w:space="0" w:color="auto"/>
              <w:right w:val="single" w:sz="4" w:space="0" w:color="auto"/>
            </w:tcBorders>
            <w:shd w:val="clear" w:color="000000" w:fill="FFFF00"/>
            <w:noWrap/>
            <w:vAlign w:val="center"/>
            <w:hideMark/>
          </w:tcPr>
          <w:p w14:paraId="5E1C42F9"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12</w:t>
            </w:r>
          </w:p>
        </w:tc>
        <w:tc>
          <w:tcPr>
            <w:tcW w:w="729" w:type="pct"/>
            <w:tcBorders>
              <w:top w:val="nil"/>
              <w:left w:val="nil"/>
              <w:bottom w:val="single" w:sz="4" w:space="0" w:color="auto"/>
              <w:right w:val="single" w:sz="4" w:space="0" w:color="auto"/>
            </w:tcBorders>
            <w:shd w:val="clear" w:color="000000" w:fill="FFFF00"/>
            <w:noWrap/>
            <w:vAlign w:val="center"/>
            <w:hideMark/>
          </w:tcPr>
          <w:p w14:paraId="7D423407"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2</w:t>
            </w:r>
          </w:p>
        </w:tc>
        <w:tc>
          <w:tcPr>
            <w:tcW w:w="693" w:type="pct"/>
            <w:tcBorders>
              <w:top w:val="nil"/>
              <w:left w:val="nil"/>
              <w:bottom w:val="nil"/>
              <w:right w:val="nil"/>
            </w:tcBorders>
            <w:shd w:val="clear" w:color="000000" w:fill="D9D9D9"/>
            <w:noWrap/>
            <w:vAlign w:val="bottom"/>
            <w:hideMark/>
          </w:tcPr>
          <w:p w14:paraId="6FD2EE1F"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86%</w:t>
            </w:r>
          </w:p>
        </w:tc>
        <w:tc>
          <w:tcPr>
            <w:tcW w:w="695" w:type="pct"/>
            <w:tcBorders>
              <w:top w:val="nil"/>
              <w:left w:val="nil"/>
              <w:bottom w:val="nil"/>
              <w:right w:val="nil"/>
            </w:tcBorders>
            <w:shd w:val="clear" w:color="000000" w:fill="D9D9D9"/>
            <w:noWrap/>
            <w:vAlign w:val="bottom"/>
            <w:hideMark/>
          </w:tcPr>
          <w:p w14:paraId="0A060597"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14%</w:t>
            </w:r>
          </w:p>
        </w:tc>
      </w:tr>
      <w:tr w:rsidR="00C865B3" w:rsidRPr="00C865B3" w14:paraId="07F9E48B" w14:textId="77777777" w:rsidTr="00FD0F3F">
        <w:trPr>
          <w:trHeight w:val="720"/>
        </w:trPr>
        <w:tc>
          <w:tcPr>
            <w:tcW w:w="693" w:type="pct"/>
            <w:tcBorders>
              <w:top w:val="nil"/>
              <w:left w:val="nil"/>
              <w:bottom w:val="nil"/>
              <w:right w:val="nil"/>
            </w:tcBorders>
            <w:shd w:val="clear" w:color="000000" w:fill="D9D9D9"/>
            <w:vAlign w:val="center"/>
            <w:hideMark/>
          </w:tcPr>
          <w:p w14:paraId="3F62101B"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3010AB9C"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OON-Inpatient</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0A94444F"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w:t>
            </w:r>
          </w:p>
        </w:tc>
        <w:tc>
          <w:tcPr>
            <w:tcW w:w="729" w:type="pct"/>
            <w:tcBorders>
              <w:top w:val="nil"/>
              <w:left w:val="nil"/>
              <w:bottom w:val="single" w:sz="4" w:space="0" w:color="auto"/>
              <w:right w:val="single" w:sz="4" w:space="0" w:color="auto"/>
            </w:tcBorders>
            <w:shd w:val="clear" w:color="000000" w:fill="FFFF00"/>
            <w:noWrap/>
            <w:vAlign w:val="center"/>
            <w:hideMark/>
          </w:tcPr>
          <w:p w14:paraId="750D4CDC"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w:t>
            </w:r>
          </w:p>
        </w:tc>
        <w:tc>
          <w:tcPr>
            <w:tcW w:w="729" w:type="pct"/>
            <w:tcBorders>
              <w:top w:val="nil"/>
              <w:left w:val="nil"/>
              <w:bottom w:val="single" w:sz="4" w:space="0" w:color="auto"/>
              <w:right w:val="single" w:sz="4" w:space="0" w:color="auto"/>
            </w:tcBorders>
            <w:shd w:val="clear" w:color="000000" w:fill="FFFF00"/>
            <w:noWrap/>
            <w:vAlign w:val="center"/>
            <w:hideMark/>
          </w:tcPr>
          <w:p w14:paraId="1A4A7CAD"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369DA9ED"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598CC1F6"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C865B3" w:rsidRPr="00C865B3" w14:paraId="2DBEA1AF" w14:textId="77777777" w:rsidTr="00FD0F3F">
        <w:trPr>
          <w:trHeight w:val="720"/>
        </w:trPr>
        <w:tc>
          <w:tcPr>
            <w:tcW w:w="693" w:type="pct"/>
            <w:tcBorders>
              <w:top w:val="nil"/>
              <w:left w:val="nil"/>
              <w:bottom w:val="nil"/>
              <w:right w:val="nil"/>
            </w:tcBorders>
            <w:shd w:val="clear" w:color="000000" w:fill="D9D9D9"/>
            <w:vAlign w:val="center"/>
            <w:hideMark/>
          </w:tcPr>
          <w:p w14:paraId="18C16ABC"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4F2877A7"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Emergency Services</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5E8314D6"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65C34768"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0F974FAE"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3AD87318"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1CC431FE"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11C8AB7D" w14:textId="77777777" w:rsidTr="00FD0F3F">
        <w:trPr>
          <w:trHeight w:val="720"/>
        </w:trPr>
        <w:tc>
          <w:tcPr>
            <w:tcW w:w="693" w:type="pct"/>
            <w:tcBorders>
              <w:top w:val="nil"/>
              <w:left w:val="nil"/>
              <w:bottom w:val="nil"/>
              <w:right w:val="nil"/>
            </w:tcBorders>
            <w:shd w:val="clear" w:color="000000" w:fill="D9D9D9"/>
            <w:vAlign w:val="center"/>
            <w:hideMark/>
          </w:tcPr>
          <w:p w14:paraId="054D8A33"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0ABB6EEB"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RX</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539ADD2D"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7723DCD6"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35DC079C"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551CCDE7"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4D13F5C7"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2976E789" w14:textId="77777777" w:rsidTr="00FD0F3F">
        <w:trPr>
          <w:trHeight w:val="720"/>
        </w:trPr>
        <w:tc>
          <w:tcPr>
            <w:tcW w:w="693" w:type="pct"/>
            <w:tcBorders>
              <w:top w:val="nil"/>
              <w:left w:val="nil"/>
              <w:bottom w:val="nil"/>
              <w:right w:val="nil"/>
            </w:tcBorders>
            <w:shd w:val="clear" w:color="000000" w:fill="D9D9D9"/>
            <w:vAlign w:val="center"/>
            <w:hideMark/>
          </w:tcPr>
          <w:p w14:paraId="5A6785DE"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50877CF9"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INN-Outpatient-Office</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78D248CD"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363FD357"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499B759D"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6BFBED09"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3AC16CC7"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649A436C" w14:textId="77777777" w:rsidTr="00FD0F3F">
        <w:trPr>
          <w:trHeight w:val="720"/>
        </w:trPr>
        <w:tc>
          <w:tcPr>
            <w:tcW w:w="693" w:type="pct"/>
            <w:tcBorders>
              <w:top w:val="nil"/>
              <w:left w:val="nil"/>
              <w:bottom w:val="nil"/>
              <w:right w:val="nil"/>
            </w:tcBorders>
            <w:shd w:val="clear" w:color="000000" w:fill="D9D9D9"/>
            <w:vAlign w:val="center"/>
            <w:hideMark/>
          </w:tcPr>
          <w:p w14:paraId="519D330F"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16BC9A72"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OON-Outpatient-Office</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5C7DD2A4"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6206C580"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38D3BD3B"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2E0F5255"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1CD64ED0"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3F393919" w14:textId="77777777" w:rsidTr="00FD0F3F">
        <w:trPr>
          <w:trHeight w:val="720"/>
        </w:trPr>
        <w:tc>
          <w:tcPr>
            <w:tcW w:w="693" w:type="pct"/>
            <w:tcBorders>
              <w:top w:val="nil"/>
              <w:left w:val="nil"/>
              <w:bottom w:val="nil"/>
              <w:right w:val="nil"/>
            </w:tcBorders>
            <w:shd w:val="clear" w:color="000000" w:fill="D9D9D9"/>
            <w:vAlign w:val="center"/>
            <w:hideMark/>
          </w:tcPr>
          <w:p w14:paraId="0D19797A"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2555FEBC"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6F1A3BB9"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5C7228B5"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22909560"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1FBF53C0"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09FCB85B"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20103228" w14:textId="77777777" w:rsidTr="00FD0F3F">
        <w:trPr>
          <w:trHeight w:val="720"/>
        </w:trPr>
        <w:tc>
          <w:tcPr>
            <w:tcW w:w="693" w:type="pct"/>
            <w:tcBorders>
              <w:top w:val="nil"/>
              <w:left w:val="nil"/>
              <w:bottom w:val="nil"/>
              <w:right w:val="nil"/>
            </w:tcBorders>
            <w:shd w:val="clear" w:color="000000" w:fill="D9D9D9"/>
            <w:vAlign w:val="center"/>
            <w:hideMark/>
          </w:tcPr>
          <w:p w14:paraId="11505D36"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53148E06"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569958DD"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53F30A93"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2DE97FA5"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71D2B966"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3C1F83CD"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02B22BE2" w14:textId="77777777" w:rsidTr="00FD0F3F">
        <w:trPr>
          <w:trHeight w:val="720"/>
        </w:trPr>
        <w:tc>
          <w:tcPr>
            <w:tcW w:w="693" w:type="pct"/>
            <w:tcBorders>
              <w:top w:val="nil"/>
              <w:left w:val="nil"/>
              <w:bottom w:val="nil"/>
              <w:right w:val="nil"/>
            </w:tcBorders>
            <w:shd w:val="clear" w:color="000000" w:fill="D9D9D9"/>
            <w:vAlign w:val="center"/>
            <w:hideMark/>
          </w:tcPr>
          <w:p w14:paraId="2860E47A"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Medical /Surgical Benefits</w:t>
            </w:r>
          </w:p>
        </w:tc>
        <w:tc>
          <w:tcPr>
            <w:tcW w:w="732" w:type="pct"/>
            <w:tcBorders>
              <w:top w:val="nil"/>
              <w:left w:val="nil"/>
              <w:bottom w:val="nil"/>
              <w:right w:val="nil"/>
            </w:tcBorders>
            <w:shd w:val="clear" w:color="000000" w:fill="D9D9D9"/>
            <w:vAlign w:val="center"/>
            <w:hideMark/>
          </w:tcPr>
          <w:p w14:paraId="2829DBC9"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INN-Inpatient</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68E18216"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127</w:t>
            </w:r>
          </w:p>
        </w:tc>
        <w:tc>
          <w:tcPr>
            <w:tcW w:w="729" w:type="pct"/>
            <w:tcBorders>
              <w:top w:val="nil"/>
              <w:left w:val="nil"/>
              <w:bottom w:val="single" w:sz="4" w:space="0" w:color="auto"/>
              <w:right w:val="single" w:sz="4" w:space="0" w:color="auto"/>
            </w:tcBorders>
            <w:shd w:val="clear" w:color="000000" w:fill="FFFF00"/>
            <w:noWrap/>
            <w:vAlign w:val="center"/>
            <w:hideMark/>
          </w:tcPr>
          <w:p w14:paraId="2E487E8E"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100</w:t>
            </w:r>
          </w:p>
        </w:tc>
        <w:tc>
          <w:tcPr>
            <w:tcW w:w="729" w:type="pct"/>
            <w:tcBorders>
              <w:top w:val="nil"/>
              <w:left w:val="nil"/>
              <w:bottom w:val="single" w:sz="4" w:space="0" w:color="auto"/>
              <w:right w:val="single" w:sz="4" w:space="0" w:color="auto"/>
            </w:tcBorders>
            <w:shd w:val="clear" w:color="000000" w:fill="FFFF00"/>
            <w:noWrap/>
            <w:vAlign w:val="center"/>
            <w:hideMark/>
          </w:tcPr>
          <w:p w14:paraId="2E2BCB07"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27</w:t>
            </w:r>
          </w:p>
        </w:tc>
        <w:tc>
          <w:tcPr>
            <w:tcW w:w="693" w:type="pct"/>
            <w:tcBorders>
              <w:top w:val="nil"/>
              <w:left w:val="nil"/>
              <w:bottom w:val="nil"/>
              <w:right w:val="nil"/>
            </w:tcBorders>
            <w:shd w:val="clear" w:color="000000" w:fill="D9D9D9"/>
            <w:noWrap/>
            <w:vAlign w:val="bottom"/>
            <w:hideMark/>
          </w:tcPr>
          <w:p w14:paraId="6118A348"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79%</w:t>
            </w:r>
          </w:p>
        </w:tc>
        <w:tc>
          <w:tcPr>
            <w:tcW w:w="695" w:type="pct"/>
            <w:tcBorders>
              <w:top w:val="nil"/>
              <w:left w:val="nil"/>
              <w:bottom w:val="nil"/>
              <w:right w:val="nil"/>
            </w:tcBorders>
            <w:shd w:val="clear" w:color="000000" w:fill="D9D9D9"/>
            <w:noWrap/>
            <w:vAlign w:val="bottom"/>
            <w:hideMark/>
          </w:tcPr>
          <w:p w14:paraId="093CF5E6"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21%</w:t>
            </w:r>
          </w:p>
        </w:tc>
      </w:tr>
      <w:tr w:rsidR="00C865B3" w:rsidRPr="00C865B3" w14:paraId="575D20CC" w14:textId="77777777" w:rsidTr="00FD0F3F">
        <w:trPr>
          <w:trHeight w:val="720"/>
        </w:trPr>
        <w:tc>
          <w:tcPr>
            <w:tcW w:w="693" w:type="pct"/>
            <w:tcBorders>
              <w:top w:val="nil"/>
              <w:left w:val="nil"/>
              <w:bottom w:val="nil"/>
              <w:right w:val="nil"/>
            </w:tcBorders>
            <w:shd w:val="clear" w:color="000000" w:fill="D9D9D9"/>
            <w:vAlign w:val="center"/>
            <w:hideMark/>
          </w:tcPr>
          <w:p w14:paraId="084A40D7"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23A63361"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OON-Inpatient</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3A0DCE58"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w:t>
            </w:r>
          </w:p>
        </w:tc>
        <w:tc>
          <w:tcPr>
            <w:tcW w:w="729" w:type="pct"/>
            <w:tcBorders>
              <w:top w:val="nil"/>
              <w:left w:val="nil"/>
              <w:bottom w:val="single" w:sz="4" w:space="0" w:color="auto"/>
              <w:right w:val="single" w:sz="4" w:space="0" w:color="auto"/>
            </w:tcBorders>
            <w:shd w:val="clear" w:color="000000" w:fill="FFFF00"/>
            <w:noWrap/>
            <w:vAlign w:val="center"/>
            <w:hideMark/>
          </w:tcPr>
          <w:p w14:paraId="3EB1E6D0"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49F09DD1"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w:t>
            </w:r>
          </w:p>
        </w:tc>
        <w:tc>
          <w:tcPr>
            <w:tcW w:w="693" w:type="pct"/>
            <w:tcBorders>
              <w:top w:val="nil"/>
              <w:left w:val="nil"/>
              <w:bottom w:val="nil"/>
              <w:right w:val="nil"/>
            </w:tcBorders>
            <w:shd w:val="clear" w:color="000000" w:fill="D9D9D9"/>
            <w:noWrap/>
            <w:vAlign w:val="bottom"/>
            <w:hideMark/>
          </w:tcPr>
          <w:p w14:paraId="2EE3361D"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c>
          <w:tcPr>
            <w:tcW w:w="695" w:type="pct"/>
            <w:tcBorders>
              <w:top w:val="nil"/>
              <w:left w:val="nil"/>
              <w:bottom w:val="nil"/>
              <w:right w:val="nil"/>
            </w:tcBorders>
            <w:shd w:val="clear" w:color="000000" w:fill="D9D9D9"/>
            <w:noWrap/>
            <w:vAlign w:val="bottom"/>
            <w:hideMark/>
          </w:tcPr>
          <w:p w14:paraId="5D9FD28C"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r>
      <w:tr w:rsidR="00C865B3" w:rsidRPr="00C865B3" w14:paraId="74E63D56" w14:textId="77777777" w:rsidTr="00FD0F3F">
        <w:trPr>
          <w:trHeight w:val="720"/>
        </w:trPr>
        <w:tc>
          <w:tcPr>
            <w:tcW w:w="693" w:type="pct"/>
            <w:tcBorders>
              <w:top w:val="nil"/>
              <w:left w:val="nil"/>
              <w:bottom w:val="nil"/>
              <w:right w:val="nil"/>
            </w:tcBorders>
            <w:shd w:val="clear" w:color="000000" w:fill="D9D9D9"/>
            <w:vAlign w:val="center"/>
            <w:hideMark/>
          </w:tcPr>
          <w:p w14:paraId="2AC00714"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23DC635B"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Emergency Services</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58DC72C6"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4</w:t>
            </w:r>
          </w:p>
        </w:tc>
        <w:tc>
          <w:tcPr>
            <w:tcW w:w="729" w:type="pct"/>
            <w:tcBorders>
              <w:top w:val="nil"/>
              <w:left w:val="nil"/>
              <w:bottom w:val="single" w:sz="4" w:space="0" w:color="auto"/>
              <w:right w:val="single" w:sz="4" w:space="0" w:color="auto"/>
            </w:tcBorders>
            <w:shd w:val="clear" w:color="000000" w:fill="FFFF00"/>
            <w:noWrap/>
            <w:vAlign w:val="center"/>
            <w:hideMark/>
          </w:tcPr>
          <w:p w14:paraId="1C2BF22B"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4</w:t>
            </w:r>
          </w:p>
        </w:tc>
        <w:tc>
          <w:tcPr>
            <w:tcW w:w="729" w:type="pct"/>
            <w:tcBorders>
              <w:top w:val="nil"/>
              <w:left w:val="nil"/>
              <w:bottom w:val="single" w:sz="4" w:space="0" w:color="auto"/>
              <w:right w:val="single" w:sz="4" w:space="0" w:color="auto"/>
            </w:tcBorders>
            <w:shd w:val="clear" w:color="000000" w:fill="FFFF00"/>
            <w:noWrap/>
            <w:vAlign w:val="center"/>
            <w:hideMark/>
          </w:tcPr>
          <w:p w14:paraId="5CF62619"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6A207C0C"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7B43D8EF"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C865B3" w:rsidRPr="00C865B3" w14:paraId="5C06B889" w14:textId="77777777" w:rsidTr="00FD0F3F">
        <w:trPr>
          <w:trHeight w:val="720"/>
        </w:trPr>
        <w:tc>
          <w:tcPr>
            <w:tcW w:w="693" w:type="pct"/>
            <w:tcBorders>
              <w:top w:val="nil"/>
              <w:left w:val="nil"/>
              <w:bottom w:val="nil"/>
              <w:right w:val="nil"/>
            </w:tcBorders>
            <w:shd w:val="clear" w:color="000000" w:fill="D9D9D9"/>
            <w:vAlign w:val="center"/>
            <w:hideMark/>
          </w:tcPr>
          <w:p w14:paraId="3FCBF777"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0EE16760"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RX</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78478ADD"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2</w:t>
            </w:r>
          </w:p>
        </w:tc>
        <w:tc>
          <w:tcPr>
            <w:tcW w:w="729" w:type="pct"/>
            <w:tcBorders>
              <w:top w:val="nil"/>
              <w:left w:val="nil"/>
              <w:bottom w:val="single" w:sz="4" w:space="0" w:color="auto"/>
              <w:right w:val="single" w:sz="4" w:space="0" w:color="auto"/>
            </w:tcBorders>
            <w:shd w:val="clear" w:color="000000" w:fill="FFFF00"/>
            <w:noWrap/>
            <w:vAlign w:val="center"/>
            <w:hideMark/>
          </w:tcPr>
          <w:p w14:paraId="6BA73AF1"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2</w:t>
            </w:r>
          </w:p>
        </w:tc>
        <w:tc>
          <w:tcPr>
            <w:tcW w:w="729" w:type="pct"/>
            <w:tcBorders>
              <w:top w:val="nil"/>
              <w:left w:val="nil"/>
              <w:bottom w:val="single" w:sz="4" w:space="0" w:color="auto"/>
              <w:right w:val="single" w:sz="4" w:space="0" w:color="auto"/>
            </w:tcBorders>
            <w:shd w:val="clear" w:color="000000" w:fill="FFFF00"/>
            <w:noWrap/>
            <w:vAlign w:val="center"/>
            <w:hideMark/>
          </w:tcPr>
          <w:p w14:paraId="098D16BB"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04ADBC0F"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181440CD"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C865B3" w:rsidRPr="00C865B3" w14:paraId="20C3BE49" w14:textId="77777777" w:rsidTr="00FD0F3F">
        <w:trPr>
          <w:trHeight w:val="720"/>
        </w:trPr>
        <w:tc>
          <w:tcPr>
            <w:tcW w:w="693" w:type="pct"/>
            <w:tcBorders>
              <w:top w:val="nil"/>
              <w:left w:val="nil"/>
              <w:bottom w:val="nil"/>
              <w:right w:val="nil"/>
            </w:tcBorders>
            <w:shd w:val="clear" w:color="000000" w:fill="D9D9D9"/>
            <w:vAlign w:val="center"/>
            <w:hideMark/>
          </w:tcPr>
          <w:p w14:paraId="08E2453A"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6B86734C"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INN-Outpatient-Office</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2002116A"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0A62CB14"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0B158141"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530C5CED"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1C55C06C"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3B2DFE7D" w14:textId="77777777" w:rsidTr="00FD0F3F">
        <w:trPr>
          <w:trHeight w:val="720"/>
        </w:trPr>
        <w:tc>
          <w:tcPr>
            <w:tcW w:w="693" w:type="pct"/>
            <w:tcBorders>
              <w:top w:val="nil"/>
              <w:left w:val="nil"/>
              <w:bottom w:val="nil"/>
              <w:right w:val="nil"/>
            </w:tcBorders>
            <w:shd w:val="clear" w:color="000000" w:fill="D9D9D9"/>
            <w:vAlign w:val="center"/>
            <w:hideMark/>
          </w:tcPr>
          <w:p w14:paraId="1067C233"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7791E389"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OON-Outpatient-Office</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32D2E3C6"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5F78F713"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3EAB6D11"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518404DC"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50BB4409"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C865B3" w:rsidRPr="00C865B3" w14:paraId="174310DE" w14:textId="77777777" w:rsidTr="00FD0F3F">
        <w:trPr>
          <w:trHeight w:val="720"/>
        </w:trPr>
        <w:tc>
          <w:tcPr>
            <w:tcW w:w="693" w:type="pct"/>
            <w:tcBorders>
              <w:top w:val="nil"/>
              <w:left w:val="nil"/>
              <w:bottom w:val="nil"/>
              <w:right w:val="nil"/>
            </w:tcBorders>
            <w:shd w:val="clear" w:color="000000" w:fill="D9D9D9"/>
            <w:vAlign w:val="center"/>
            <w:hideMark/>
          </w:tcPr>
          <w:p w14:paraId="6E88C67E"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1033BBC0"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2BB65E7D"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127</w:t>
            </w:r>
          </w:p>
        </w:tc>
        <w:tc>
          <w:tcPr>
            <w:tcW w:w="729" w:type="pct"/>
            <w:tcBorders>
              <w:top w:val="nil"/>
              <w:left w:val="nil"/>
              <w:bottom w:val="single" w:sz="4" w:space="0" w:color="auto"/>
              <w:right w:val="single" w:sz="4" w:space="0" w:color="auto"/>
            </w:tcBorders>
            <w:shd w:val="clear" w:color="000000" w:fill="FFFF00"/>
            <w:noWrap/>
            <w:vAlign w:val="center"/>
            <w:hideMark/>
          </w:tcPr>
          <w:p w14:paraId="0E539B8F"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96</w:t>
            </w:r>
          </w:p>
        </w:tc>
        <w:tc>
          <w:tcPr>
            <w:tcW w:w="729" w:type="pct"/>
            <w:tcBorders>
              <w:top w:val="nil"/>
              <w:left w:val="nil"/>
              <w:bottom w:val="single" w:sz="4" w:space="0" w:color="auto"/>
              <w:right w:val="single" w:sz="4" w:space="0" w:color="auto"/>
            </w:tcBorders>
            <w:shd w:val="clear" w:color="000000" w:fill="FFFF00"/>
            <w:noWrap/>
            <w:vAlign w:val="center"/>
            <w:hideMark/>
          </w:tcPr>
          <w:p w14:paraId="38836EA1"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31</w:t>
            </w:r>
          </w:p>
        </w:tc>
        <w:tc>
          <w:tcPr>
            <w:tcW w:w="693" w:type="pct"/>
            <w:tcBorders>
              <w:top w:val="nil"/>
              <w:left w:val="nil"/>
              <w:bottom w:val="nil"/>
              <w:right w:val="nil"/>
            </w:tcBorders>
            <w:shd w:val="clear" w:color="000000" w:fill="D9D9D9"/>
            <w:noWrap/>
            <w:vAlign w:val="bottom"/>
            <w:hideMark/>
          </w:tcPr>
          <w:p w14:paraId="2537DA60"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76%</w:t>
            </w:r>
          </w:p>
        </w:tc>
        <w:tc>
          <w:tcPr>
            <w:tcW w:w="695" w:type="pct"/>
            <w:tcBorders>
              <w:top w:val="nil"/>
              <w:left w:val="nil"/>
              <w:bottom w:val="nil"/>
              <w:right w:val="nil"/>
            </w:tcBorders>
            <w:shd w:val="clear" w:color="000000" w:fill="D9D9D9"/>
            <w:noWrap/>
            <w:vAlign w:val="bottom"/>
            <w:hideMark/>
          </w:tcPr>
          <w:p w14:paraId="6AC15E14"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24%</w:t>
            </w:r>
          </w:p>
        </w:tc>
      </w:tr>
      <w:tr w:rsidR="00C865B3" w:rsidRPr="00C865B3" w14:paraId="23A9A446" w14:textId="77777777" w:rsidTr="00FD0F3F">
        <w:trPr>
          <w:trHeight w:val="720"/>
        </w:trPr>
        <w:tc>
          <w:tcPr>
            <w:tcW w:w="693" w:type="pct"/>
            <w:tcBorders>
              <w:top w:val="nil"/>
              <w:left w:val="nil"/>
              <w:bottom w:val="nil"/>
              <w:right w:val="nil"/>
            </w:tcBorders>
            <w:shd w:val="clear" w:color="000000" w:fill="D9D9D9"/>
            <w:vAlign w:val="center"/>
            <w:hideMark/>
          </w:tcPr>
          <w:p w14:paraId="02EAC1D6"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031AD02A" w14:textId="77777777" w:rsidR="00C865B3" w:rsidRPr="00C865B3" w:rsidRDefault="00C865B3"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36B08F30"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5</w:t>
            </w:r>
          </w:p>
        </w:tc>
        <w:tc>
          <w:tcPr>
            <w:tcW w:w="729" w:type="pct"/>
            <w:tcBorders>
              <w:top w:val="nil"/>
              <w:left w:val="nil"/>
              <w:bottom w:val="single" w:sz="4" w:space="0" w:color="auto"/>
              <w:right w:val="single" w:sz="4" w:space="0" w:color="auto"/>
            </w:tcBorders>
            <w:shd w:val="clear" w:color="000000" w:fill="FFFF00"/>
            <w:noWrap/>
            <w:vAlign w:val="center"/>
            <w:hideMark/>
          </w:tcPr>
          <w:p w14:paraId="2E71EA31"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w:t>
            </w:r>
          </w:p>
        </w:tc>
        <w:tc>
          <w:tcPr>
            <w:tcW w:w="729" w:type="pct"/>
            <w:tcBorders>
              <w:top w:val="nil"/>
              <w:left w:val="nil"/>
              <w:bottom w:val="single" w:sz="4" w:space="0" w:color="auto"/>
              <w:right w:val="single" w:sz="4" w:space="0" w:color="auto"/>
            </w:tcBorders>
            <w:shd w:val="clear" w:color="000000" w:fill="FFFF00"/>
            <w:noWrap/>
            <w:vAlign w:val="center"/>
            <w:hideMark/>
          </w:tcPr>
          <w:p w14:paraId="6332301E" w14:textId="77777777" w:rsidR="00C865B3" w:rsidRPr="00C865B3" w:rsidRDefault="00C865B3"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2</w:t>
            </w:r>
          </w:p>
        </w:tc>
        <w:tc>
          <w:tcPr>
            <w:tcW w:w="693" w:type="pct"/>
            <w:tcBorders>
              <w:top w:val="nil"/>
              <w:left w:val="nil"/>
              <w:bottom w:val="nil"/>
              <w:right w:val="nil"/>
            </w:tcBorders>
            <w:shd w:val="clear" w:color="000000" w:fill="D9D9D9"/>
            <w:noWrap/>
            <w:vAlign w:val="bottom"/>
            <w:hideMark/>
          </w:tcPr>
          <w:p w14:paraId="176CD255"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60%</w:t>
            </w:r>
          </w:p>
        </w:tc>
        <w:tc>
          <w:tcPr>
            <w:tcW w:w="695" w:type="pct"/>
            <w:tcBorders>
              <w:top w:val="nil"/>
              <w:left w:val="nil"/>
              <w:bottom w:val="nil"/>
              <w:right w:val="nil"/>
            </w:tcBorders>
            <w:shd w:val="clear" w:color="000000" w:fill="D9D9D9"/>
            <w:noWrap/>
            <w:vAlign w:val="bottom"/>
            <w:hideMark/>
          </w:tcPr>
          <w:p w14:paraId="44CDBBC7" w14:textId="77777777" w:rsidR="00C865B3" w:rsidRPr="00C865B3" w:rsidRDefault="00C865B3"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40%</w:t>
            </w:r>
          </w:p>
        </w:tc>
      </w:tr>
      <w:tr w:rsidR="00FD0F3F" w:rsidRPr="00C865B3" w14:paraId="1FB19F26" w14:textId="77777777" w:rsidTr="001A7BE1">
        <w:trPr>
          <w:trHeight w:val="720"/>
        </w:trPr>
        <w:tc>
          <w:tcPr>
            <w:tcW w:w="693"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E0FE93F" w14:textId="403976D0" w:rsidR="00FD0F3F" w:rsidRPr="00C865B3" w:rsidRDefault="00FD0F3F" w:rsidP="00C865B3">
            <w:pPr>
              <w:spacing w:after="0" w:line="240" w:lineRule="auto"/>
              <w:rPr>
                <w:rFonts w:ascii="Century Gothic" w:eastAsia="Times New Roman" w:hAnsi="Century Gothic" w:cs="Arial"/>
                <w:sz w:val="18"/>
                <w:szCs w:val="18"/>
              </w:rPr>
            </w:pPr>
            <w:r w:rsidRPr="00C865B3">
              <w:rPr>
                <w:rFonts w:ascii="Century Gothic" w:eastAsia="Times New Roman" w:hAnsi="Century Gothic" w:cs="Arial"/>
                <w:b/>
                <w:bCs/>
                <w:sz w:val="18"/>
                <w:szCs w:val="18"/>
              </w:rPr>
              <w:t>Benefit</w:t>
            </w:r>
          </w:p>
        </w:tc>
        <w:tc>
          <w:tcPr>
            <w:tcW w:w="732" w:type="pct"/>
            <w:tcBorders>
              <w:top w:val="single" w:sz="4" w:space="0" w:color="auto"/>
              <w:left w:val="nil"/>
              <w:bottom w:val="single" w:sz="4" w:space="0" w:color="auto"/>
              <w:right w:val="single" w:sz="4" w:space="0" w:color="auto"/>
            </w:tcBorders>
            <w:shd w:val="clear" w:color="000000" w:fill="92D050"/>
            <w:noWrap/>
            <w:vAlign w:val="center"/>
            <w:hideMark/>
          </w:tcPr>
          <w:p w14:paraId="0373EB3C" w14:textId="637BB5F6" w:rsidR="00FD0F3F" w:rsidRPr="00C865B3" w:rsidRDefault="00FD0F3F" w:rsidP="00C865B3">
            <w:pPr>
              <w:spacing w:after="0" w:line="240" w:lineRule="auto"/>
              <w:rPr>
                <w:rFonts w:ascii="Century Gothic" w:eastAsia="Times New Roman" w:hAnsi="Century Gothic" w:cs="Arial"/>
                <w:sz w:val="18"/>
                <w:szCs w:val="18"/>
              </w:rPr>
            </w:pPr>
            <w:r w:rsidRPr="00C865B3">
              <w:rPr>
                <w:rFonts w:ascii="Century Gothic" w:eastAsia="Times New Roman" w:hAnsi="Century Gothic" w:cs="Arial"/>
                <w:b/>
                <w:bCs/>
                <w:sz w:val="18"/>
                <w:szCs w:val="18"/>
              </w:rPr>
              <w:t xml:space="preserve">Classification </w:t>
            </w:r>
          </w:p>
        </w:tc>
        <w:tc>
          <w:tcPr>
            <w:tcW w:w="729" w:type="pct"/>
            <w:tcBorders>
              <w:top w:val="single" w:sz="4" w:space="0" w:color="auto"/>
              <w:left w:val="nil"/>
              <w:bottom w:val="single" w:sz="4" w:space="0" w:color="auto"/>
              <w:right w:val="single" w:sz="4" w:space="0" w:color="auto"/>
            </w:tcBorders>
            <w:shd w:val="clear" w:color="000000" w:fill="92D050"/>
            <w:vAlign w:val="center"/>
            <w:hideMark/>
          </w:tcPr>
          <w:p w14:paraId="11140C01" w14:textId="5DB0A5A4"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 of Claims Submitted</w:t>
            </w:r>
          </w:p>
        </w:tc>
        <w:tc>
          <w:tcPr>
            <w:tcW w:w="729" w:type="pct"/>
            <w:tcBorders>
              <w:top w:val="single" w:sz="4" w:space="0" w:color="auto"/>
              <w:left w:val="nil"/>
              <w:bottom w:val="single" w:sz="4" w:space="0" w:color="auto"/>
              <w:right w:val="single" w:sz="4" w:space="0" w:color="auto"/>
            </w:tcBorders>
            <w:shd w:val="clear" w:color="000000" w:fill="92D050"/>
            <w:noWrap/>
            <w:vAlign w:val="center"/>
            <w:hideMark/>
          </w:tcPr>
          <w:p w14:paraId="491D4679" w14:textId="1E99102D"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 of Claims Approved</w:t>
            </w:r>
          </w:p>
        </w:tc>
        <w:tc>
          <w:tcPr>
            <w:tcW w:w="729" w:type="pct"/>
            <w:tcBorders>
              <w:top w:val="single" w:sz="4" w:space="0" w:color="auto"/>
              <w:left w:val="nil"/>
              <w:bottom w:val="single" w:sz="4" w:space="0" w:color="auto"/>
              <w:right w:val="single" w:sz="4" w:space="0" w:color="auto"/>
            </w:tcBorders>
            <w:shd w:val="clear" w:color="000000" w:fill="92D050"/>
            <w:noWrap/>
            <w:vAlign w:val="center"/>
            <w:hideMark/>
          </w:tcPr>
          <w:p w14:paraId="03256E12" w14:textId="4FABD786"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 of Claims Denied</w:t>
            </w:r>
          </w:p>
        </w:tc>
        <w:tc>
          <w:tcPr>
            <w:tcW w:w="693" w:type="pct"/>
            <w:tcBorders>
              <w:top w:val="single" w:sz="4" w:space="0" w:color="auto"/>
              <w:left w:val="nil"/>
              <w:bottom w:val="single" w:sz="4" w:space="0" w:color="auto"/>
              <w:right w:val="single" w:sz="4" w:space="0" w:color="auto"/>
            </w:tcBorders>
            <w:shd w:val="clear" w:color="000000" w:fill="92D050"/>
            <w:noWrap/>
            <w:vAlign w:val="center"/>
            <w:hideMark/>
          </w:tcPr>
          <w:p w14:paraId="4DFC6169" w14:textId="2FD270D1"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b/>
                <w:bCs/>
                <w:sz w:val="18"/>
                <w:szCs w:val="18"/>
              </w:rPr>
              <w:t xml:space="preserve">% Approved </w:t>
            </w:r>
          </w:p>
        </w:tc>
        <w:tc>
          <w:tcPr>
            <w:tcW w:w="695" w:type="pct"/>
            <w:tcBorders>
              <w:top w:val="single" w:sz="4" w:space="0" w:color="auto"/>
              <w:left w:val="nil"/>
              <w:bottom w:val="single" w:sz="4" w:space="0" w:color="auto"/>
              <w:right w:val="single" w:sz="4" w:space="0" w:color="auto"/>
            </w:tcBorders>
            <w:shd w:val="clear" w:color="000000" w:fill="92D050"/>
            <w:noWrap/>
            <w:vAlign w:val="center"/>
            <w:hideMark/>
          </w:tcPr>
          <w:p w14:paraId="6631CDD0" w14:textId="7D1532D3"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b/>
                <w:bCs/>
                <w:sz w:val="18"/>
                <w:szCs w:val="18"/>
              </w:rPr>
              <w:t>% Denied</w:t>
            </w:r>
          </w:p>
        </w:tc>
      </w:tr>
      <w:tr w:rsidR="00FD0F3F" w:rsidRPr="00C865B3" w14:paraId="3181F6AB" w14:textId="77777777" w:rsidTr="001A7BE1">
        <w:trPr>
          <w:trHeight w:val="720"/>
        </w:trPr>
        <w:tc>
          <w:tcPr>
            <w:tcW w:w="693" w:type="pct"/>
            <w:tcBorders>
              <w:top w:val="nil"/>
              <w:left w:val="nil"/>
              <w:bottom w:val="nil"/>
              <w:right w:val="nil"/>
            </w:tcBorders>
            <w:shd w:val="clear" w:color="000000" w:fill="D9D9D9"/>
            <w:vAlign w:val="center"/>
            <w:hideMark/>
          </w:tcPr>
          <w:p w14:paraId="7C332E92" w14:textId="4531369D"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Mental Health Benefits</w:t>
            </w:r>
          </w:p>
        </w:tc>
        <w:tc>
          <w:tcPr>
            <w:tcW w:w="732" w:type="pct"/>
            <w:tcBorders>
              <w:top w:val="nil"/>
              <w:left w:val="nil"/>
              <w:bottom w:val="nil"/>
              <w:right w:val="nil"/>
            </w:tcBorders>
            <w:shd w:val="clear" w:color="000000" w:fill="D9D9D9"/>
            <w:vAlign w:val="center"/>
            <w:hideMark/>
          </w:tcPr>
          <w:p w14:paraId="528E98F7" w14:textId="500CCA36"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INN-Inpatient</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438F145F" w14:textId="0E6A6427"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114</w:t>
            </w:r>
          </w:p>
        </w:tc>
        <w:tc>
          <w:tcPr>
            <w:tcW w:w="729" w:type="pct"/>
            <w:tcBorders>
              <w:top w:val="nil"/>
              <w:left w:val="nil"/>
              <w:bottom w:val="single" w:sz="4" w:space="0" w:color="auto"/>
              <w:right w:val="single" w:sz="4" w:space="0" w:color="auto"/>
            </w:tcBorders>
            <w:shd w:val="clear" w:color="000000" w:fill="FFFF00"/>
            <w:vAlign w:val="center"/>
            <w:hideMark/>
          </w:tcPr>
          <w:p w14:paraId="630D55C7" w14:textId="2D841039"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61</w:t>
            </w:r>
          </w:p>
        </w:tc>
        <w:tc>
          <w:tcPr>
            <w:tcW w:w="729" w:type="pct"/>
            <w:tcBorders>
              <w:top w:val="nil"/>
              <w:left w:val="nil"/>
              <w:bottom w:val="single" w:sz="4" w:space="0" w:color="auto"/>
              <w:right w:val="single" w:sz="4" w:space="0" w:color="auto"/>
            </w:tcBorders>
            <w:shd w:val="clear" w:color="000000" w:fill="FFFF00"/>
            <w:vAlign w:val="center"/>
            <w:hideMark/>
          </w:tcPr>
          <w:p w14:paraId="11A0A842" w14:textId="49C72179"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53</w:t>
            </w:r>
          </w:p>
        </w:tc>
        <w:tc>
          <w:tcPr>
            <w:tcW w:w="693" w:type="pct"/>
            <w:tcBorders>
              <w:top w:val="nil"/>
              <w:left w:val="nil"/>
              <w:bottom w:val="nil"/>
              <w:right w:val="nil"/>
            </w:tcBorders>
            <w:shd w:val="clear" w:color="000000" w:fill="D9D9D9"/>
            <w:vAlign w:val="bottom"/>
            <w:hideMark/>
          </w:tcPr>
          <w:p w14:paraId="5B63B435" w14:textId="1EBD97C6" w:rsidR="00FD0F3F" w:rsidRPr="00C865B3" w:rsidRDefault="00FD0F3F" w:rsidP="00C865B3">
            <w:pPr>
              <w:spacing w:after="0" w:line="240" w:lineRule="auto"/>
              <w:jc w:val="center"/>
              <w:rPr>
                <w:rFonts w:ascii="Century Gothic" w:eastAsia="Times New Roman" w:hAnsi="Century Gothic" w:cs="Arial"/>
                <w:b/>
                <w:bCs/>
                <w:sz w:val="18"/>
                <w:szCs w:val="18"/>
              </w:rPr>
            </w:pPr>
            <w:r w:rsidRPr="00C865B3">
              <w:rPr>
                <w:rFonts w:ascii="Century Gothic" w:eastAsia="Times New Roman" w:hAnsi="Century Gothic" w:cs="Arial"/>
                <w:sz w:val="18"/>
                <w:szCs w:val="18"/>
              </w:rPr>
              <w:t>54%</w:t>
            </w:r>
          </w:p>
        </w:tc>
        <w:tc>
          <w:tcPr>
            <w:tcW w:w="695" w:type="pct"/>
            <w:tcBorders>
              <w:top w:val="nil"/>
              <w:left w:val="nil"/>
              <w:bottom w:val="nil"/>
              <w:right w:val="nil"/>
            </w:tcBorders>
            <w:shd w:val="clear" w:color="000000" w:fill="D9D9D9"/>
            <w:vAlign w:val="bottom"/>
            <w:hideMark/>
          </w:tcPr>
          <w:p w14:paraId="1B0532FE" w14:textId="0BBD0DBF" w:rsidR="00FD0F3F" w:rsidRPr="00C865B3" w:rsidRDefault="00FD0F3F" w:rsidP="00C865B3">
            <w:pPr>
              <w:spacing w:after="0" w:line="240" w:lineRule="auto"/>
              <w:jc w:val="center"/>
              <w:rPr>
                <w:rFonts w:ascii="Century Gothic" w:eastAsia="Times New Roman" w:hAnsi="Century Gothic" w:cs="Arial"/>
                <w:b/>
                <w:bCs/>
                <w:sz w:val="18"/>
                <w:szCs w:val="18"/>
              </w:rPr>
            </w:pPr>
            <w:r w:rsidRPr="00C865B3">
              <w:rPr>
                <w:rFonts w:ascii="Century Gothic" w:eastAsia="Times New Roman" w:hAnsi="Century Gothic" w:cs="Arial"/>
                <w:sz w:val="18"/>
                <w:szCs w:val="18"/>
              </w:rPr>
              <w:t>46%</w:t>
            </w:r>
          </w:p>
        </w:tc>
      </w:tr>
      <w:tr w:rsidR="00FD0F3F" w:rsidRPr="00C865B3" w14:paraId="5A908601" w14:textId="77777777" w:rsidTr="001A7BE1">
        <w:trPr>
          <w:trHeight w:val="720"/>
        </w:trPr>
        <w:tc>
          <w:tcPr>
            <w:tcW w:w="693" w:type="pct"/>
            <w:tcBorders>
              <w:top w:val="nil"/>
              <w:left w:val="nil"/>
              <w:bottom w:val="nil"/>
              <w:right w:val="nil"/>
            </w:tcBorders>
            <w:shd w:val="clear" w:color="000000" w:fill="D9D9D9"/>
            <w:vAlign w:val="center"/>
            <w:hideMark/>
          </w:tcPr>
          <w:p w14:paraId="61E0C108" w14:textId="168D842B"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065A319E" w14:textId="77947D67"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OON-Inpatient</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4D2E287B" w14:textId="70CA006C"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7ED3C55B" w14:textId="7B4B81D9"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1D4729A0" w14:textId="04908AFD"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4E149273" w14:textId="402B3626"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06432FE1" w14:textId="41B76E7D"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73F194C8" w14:textId="77777777" w:rsidTr="001A7BE1">
        <w:trPr>
          <w:trHeight w:val="720"/>
        </w:trPr>
        <w:tc>
          <w:tcPr>
            <w:tcW w:w="693" w:type="pct"/>
            <w:tcBorders>
              <w:top w:val="nil"/>
              <w:left w:val="nil"/>
              <w:bottom w:val="nil"/>
              <w:right w:val="nil"/>
            </w:tcBorders>
            <w:shd w:val="clear" w:color="000000" w:fill="D9D9D9"/>
            <w:vAlign w:val="center"/>
            <w:hideMark/>
          </w:tcPr>
          <w:p w14:paraId="7571C833" w14:textId="3BC694FC"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291A45B0" w14:textId="750C4F5E"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Emergency Services</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6FF03FD6" w14:textId="66A579DA"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36</w:t>
            </w:r>
          </w:p>
        </w:tc>
        <w:tc>
          <w:tcPr>
            <w:tcW w:w="729" w:type="pct"/>
            <w:tcBorders>
              <w:top w:val="nil"/>
              <w:left w:val="nil"/>
              <w:bottom w:val="single" w:sz="4" w:space="0" w:color="auto"/>
              <w:right w:val="single" w:sz="4" w:space="0" w:color="auto"/>
            </w:tcBorders>
            <w:shd w:val="clear" w:color="000000" w:fill="FFFF00"/>
            <w:noWrap/>
            <w:vAlign w:val="center"/>
            <w:hideMark/>
          </w:tcPr>
          <w:p w14:paraId="6ECDD8D8" w14:textId="4922D413"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34</w:t>
            </w:r>
          </w:p>
        </w:tc>
        <w:tc>
          <w:tcPr>
            <w:tcW w:w="729" w:type="pct"/>
            <w:tcBorders>
              <w:top w:val="nil"/>
              <w:left w:val="nil"/>
              <w:bottom w:val="single" w:sz="4" w:space="0" w:color="auto"/>
              <w:right w:val="single" w:sz="4" w:space="0" w:color="auto"/>
            </w:tcBorders>
            <w:shd w:val="clear" w:color="000000" w:fill="FFFF00"/>
            <w:noWrap/>
            <w:vAlign w:val="center"/>
            <w:hideMark/>
          </w:tcPr>
          <w:p w14:paraId="6A04CA15" w14:textId="136A6598"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2</w:t>
            </w:r>
          </w:p>
        </w:tc>
        <w:tc>
          <w:tcPr>
            <w:tcW w:w="693" w:type="pct"/>
            <w:tcBorders>
              <w:top w:val="nil"/>
              <w:left w:val="nil"/>
              <w:bottom w:val="nil"/>
              <w:right w:val="nil"/>
            </w:tcBorders>
            <w:shd w:val="clear" w:color="000000" w:fill="D9D9D9"/>
            <w:noWrap/>
            <w:vAlign w:val="bottom"/>
            <w:hideMark/>
          </w:tcPr>
          <w:p w14:paraId="54C96BF5" w14:textId="639CC22D"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94%</w:t>
            </w:r>
          </w:p>
        </w:tc>
        <w:tc>
          <w:tcPr>
            <w:tcW w:w="695" w:type="pct"/>
            <w:tcBorders>
              <w:top w:val="nil"/>
              <w:left w:val="nil"/>
              <w:bottom w:val="nil"/>
              <w:right w:val="nil"/>
            </w:tcBorders>
            <w:shd w:val="clear" w:color="000000" w:fill="D9D9D9"/>
            <w:noWrap/>
            <w:vAlign w:val="bottom"/>
            <w:hideMark/>
          </w:tcPr>
          <w:p w14:paraId="4E3F7829" w14:textId="0B88F0A9"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6%</w:t>
            </w:r>
          </w:p>
        </w:tc>
      </w:tr>
      <w:tr w:rsidR="00FD0F3F" w:rsidRPr="00C865B3" w14:paraId="6218B9C9" w14:textId="77777777" w:rsidTr="001A7BE1">
        <w:trPr>
          <w:trHeight w:val="720"/>
        </w:trPr>
        <w:tc>
          <w:tcPr>
            <w:tcW w:w="693" w:type="pct"/>
            <w:tcBorders>
              <w:top w:val="nil"/>
              <w:left w:val="nil"/>
              <w:bottom w:val="nil"/>
              <w:right w:val="nil"/>
            </w:tcBorders>
            <w:shd w:val="clear" w:color="000000" w:fill="D9D9D9"/>
            <w:vAlign w:val="center"/>
            <w:hideMark/>
          </w:tcPr>
          <w:p w14:paraId="15E5BF56" w14:textId="56A20325"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29E9F154" w14:textId="0CB38ADD"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RX</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0EDBE801" w14:textId="4341166D"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726</w:t>
            </w:r>
          </w:p>
        </w:tc>
        <w:tc>
          <w:tcPr>
            <w:tcW w:w="729" w:type="pct"/>
            <w:tcBorders>
              <w:top w:val="nil"/>
              <w:left w:val="nil"/>
              <w:bottom w:val="single" w:sz="4" w:space="0" w:color="auto"/>
              <w:right w:val="single" w:sz="4" w:space="0" w:color="auto"/>
            </w:tcBorders>
            <w:shd w:val="clear" w:color="000000" w:fill="FFFF00"/>
            <w:noWrap/>
            <w:vAlign w:val="center"/>
            <w:hideMark/>
          </w:tcPr>
          <w:p w14:paraId="25602297" w14:textId="0F716EB5"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453</w:t>
            </w:r>
          </w:p>
        </w:tc>
        <w:tc>
          <w:tcPr>
            <w:tcW w:w="729" w:type="pct"/>
            <w:tcBorders>
              <w:top w:val="nil"/>
              <w:left w:val="nil"/>
              <w:bottom w:val="single" w:sz="4" w:space="0" w:color="auto"/>
              <w:right w:val="single" w:sz="4" w:space="0" w:color="auto"/>
            </w:tcBorders>
            <w:shd w:val="clear" w:color="000000" w:fill="FFFF00"/>
            <w:noWrap/>
            <w:vAlign w:val="center"/>
            <w:hideMark/>
          </w:tcPr>
          <w:p w14:paraId="741BC57B" w14:textId="52D6E616"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273</w:t>
            </w:r>
          </w:p>
        </w:tc>
        <w:tc>
          <w:tcPr>
            <w:tcW w:w="693" w:type="pct"/>
            <w:tcBorders>
              <w:top w:val="nil"/>
              <w:left w:val="nil"/>
              <w:bottom w:val="nil"/>
              <w:right w:val="nil"/>
            </w:tcBorders>
            <w:shd w:val="clear" w:color="000000" w:fill="D9D9D9"/>
            <w:noWrap/>
            <w:vAlign w:val="bottom"/>
            <w:hideMark/>
          </w:tcPr>
          <w:p w14:paraId="6873FC96" w14:textId="23F3AE53"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62%</w:t>
            </w:r>
          </w:p>
        </w:tc>
        <w:tc>
          <w:tcPr>
            <w:tcW w:w="695" w:type="pct"/>
            <w:tcBorders>
              <w:top w:val="nil"/>
              <w:left w:val="nil"/>
              <w:bottom w:val="nil"/>
              <w:right w:val="nil"/>
            </w:tcBorders>
            <w:shd w:val="clear" w:color="000000" w:fill="D9D9D9"/>
            <w:noWrap/>
            <w:vAlign w:val="bottom"/>
            <w:hideMark/>
          </w:tcPr>
          <w:p w14:paraId="44ADFEE7" w14:textId="27ABC8D4"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38%</w:t>
            </w:r>
          </w:p>
        </w:tc>
      </w:tr>
      <w:tr w:rsidR="00FD0F3F" w:rsidRPr="00C865B3" w14:paraId="6AEC3825" w14:textId="77777777" w:rsidTr="001A7BE1">
        <w:trPr>
          <w:trHeight w:val="740"/>
        </w:trPr>
        <w:tc>
          <w:tcPr>
            <w:tcW w:w="693" w:type="pct"/>
            <w:tcBorders>
              <w:top w:val="nil"/>
              <w:left w:val="nil"/>
              <w:bottom w:val="nil"/>
              <w:right w:val="nil"/>
            </w:tcBorders>
            <w:shd w:val="clear" w:color="000000" w:fill="D9D9D9"/>
            <w:vAlign w:val="center"/>
            <w:hideMark/>
          </w:tcPr>
          <w:p w14:paraId="699C3400" w14:textId="45D5C57A"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2883D7FE" w14:textId="38F023F6"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INN-Outpatient-Office</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6501E5A4" w14:textId="7712CB8C"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370</w:t>
            </w:r>
          </w:p>
        </w:tc>
        <w:tc>
          <w:tcPr>
            <w:tcW w:w="729" w:type="pct"/>
            <w:tcBorders>
              <w:top w:val="nil"/>
              <w:left w:val="nil"/>
              <w:bottom w:val="single" w:sz="4" w:space="0" w:color="auto"/>
              <w:right w:val="single" w:sz="4" w:space="0" w:color="auto"/>
            </w:tcBorders>
            <w:shd w:val="clear" w:color="000000" w:fill="FFFF00"/>
            <w:noWrap/>
            <w:vAlign w:val="center"/>
            <w:hideMark/>
          </w:tcPr>
          <w:p w14:paraId="14D3B187" w14:textId="51306D41"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349</w:t>
            </w:r>
          </w:p>
        </w:tc>
        <w:tc>
          <w:tcPr>
            <w:tcW w:w="729" w:type="pct"/>
            <w:tcBorders>
              <w:top w:val="nil"/>
              <w:left w:val="nil"/>
              <w:bottom w:val="single" w:sz="4" w:space="0" w:color="auto"/>
              <w:right w:val="single" w:sz="4" w:space="0" w:color="auto"/>
            </w:tcBorders>
            <w:shd w:val="clear" w:color="000000" w:fill="FFFF00"/>
            <w:noWrap/>
            <w:vAlign w:val="center"/>
            <w:hideMark/>
          </w:tcPr>
          <w:p w14:paraId="184E3F91" w14:textId="1E304FD8"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21</w:t>
            </w:r>
          </w:p>
        </w:tc>
        <w:tc>
          <w:tcPr>
            <w:tcW w:w="693" w:type="pct"/>
            <w:tcBorders>
              <w:top w:val="nil"/>
              <w:left w:val="nil"/>
              <w:bottom w:val="nil"/>
              <w:right w:val="nil"/>
            </w:tcBorders>
            <w:shd w:val="clear" w:color="000000" w:fill="D9D9D9"/>
            <w:noWrap/>
            <w:vAlign w:val="bottom"/>
            <w:hideMark/>
          </w:tcPr>
          <w:p w14:paraId="0CE96802" w14:textId="7A37AB01"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94%</w:t>
            </w:r>
          </w:p>
        </w:tc>
        <w:tc>
          <w:tcPr>
            <w:tcW w:w="695" w:type="pct"/>
            <w:tcBorders>
              <w:top w:val="nil"/>
              <w:left w:val="nil"/>
              <w:bottom w:val="nil"/>
              <w:right w:val="nil"/>
            </w:tcBorders>
            <w:shd w:val="clear" w:color="000000" w:fill="D9D9D9"/>
            <w:noWrap/>
            <w:vAlign w:val="bottom"/>
            <w:hideMark/>
          </w:tcPr>
          <w:p w14:paraId="7147CF65" w14:textId="077BB240"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6%</w:t>
            </w:r>
          </w:p>
        </w:tc>
      </w:tr>
      <w:tr w:rsidR="00FD0F3F" w:rsidRPr="00C865B3" w14:paraId="68C903FC" w14:textId="77777777" w:rsidTr="001A7BE1">
        <w:trPr>
          <w:trHeight w:val="720"/>
        </w:trPr>
        <w:tc>
          <w:tcPr>
            <w:tcW w:w="693" w:type="pct"/>
            <w:tcBorders>
              <w:top w:val="nil"/>
              <w:left w:val="nil"/>
              <w:bottom w:val="nil"/>
              <w:right w:val="nil"/>
            </w:tcBorders>
            <w:shd w:val="clear" w:color="000000" w:fill="D9D9D9"/>
            <w:vAlign w:val="center"/>
            <w:hideMark/>
          </w:tcPr>
          <w:p w14:paraId="0332D75C" w14:textId="41CEF4DB"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507C97E6" w14:textId="41CB43D7"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OON-Outpatient-Office</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56DC243A" w14:textId="6332E5EB"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56</w:t>
            </w:r>
          </w:p>
        </w:tc>
        <w:tc>
          <w:tcPr>
            <w:tcW w:w="729" w:type="pct"/>
            <w:tcBorders>
              <w:top w:val="nil"/>
              <w:left w:val="nil"/>
              <w:bottom w:val="single" w:sz="4" w:space="0" w:color="auto"/>
              <w:right w:val="single" w:sz="4" w:space="0" w:color="auto"/>
            </w:tcBorders>
            <w:shd w:val="clear" w:color="000000" w:fill="FFFF00"/>
            <w:noWrap/>
            <w:vAlign w:val="center"/>
            <w:hideMark/>
          </w:tcPr>
          <w:p w14:paraId="5666B576" w14:textId="70FDAD6E"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56</w:t>
            </w:r>
          </w:p>
        </w:tc>
        <w:tc>
          <w:tcPr>
            <w:tcW w:w="729" w:type="pct"/>
            <w:tcBorders>
              <w:top w:val="nil"/>
              <w:left w:val="nil"/>
              <w:bottom w:val="single" w:sz="4" w:space="0" w:color="auto"/>
              <w:right w:val="single" w:sz="4" w:space="0" w:color="auto"/>
            </w:tcBorders>
            <w:shd w:val="clear" w:color="000000" w:fill="FFFF00"/>
            <w:noWrap/>
            <w:vAlign w:val="center"/>
            <w:hideMark/>
          </w:tcPr>
          <w:p w14:paraId="3D4C5B64" w14:textId="6722A912"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355AD7E8" w14:textId="694AE7F7"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7919AB2E" w14:textId="37061C94"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FD0F3F" w:rsidRPr="00C865B3" w14:paraId="09E9AA9A" w14:textId="77777777" w:rsidTr="001A7BE1">
        <w:trPr>
          <w:trHeight w:val="720"/>
        </w:trPr>
        <w:tc>
          <w:tcPr>
            <w:tcW w:w="693" w:type="pct"/>
            <w:tcBorders>
              <w:top w:val="nil"/>
              <w:left w:val="nil"/>
              <w:bottom w:val="nil"/>
              <w:right w:val="nil"/>
            </w:tcBorders>
            <w:shd w:val="clear" w:color="000000" w:fill="D9D9D9"/>
            <w:vAlign w:val="center"/>
            <w:hideMark/>
          </w:tcPr>
          <w:p w14:paraId="02AAD98E" w14:textId="44261591"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6F68CB7D" w14:textId="63D91D09"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22536F61" w14:textId="5F2A9EA4"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69</w:t>
            </w:r>
          </w:p>
        </w:tc>
        <w:tc>
          <w:tcPr>
            <w:tcW w:w="729" w:type="pct"/>
            <w:tcBorders>
              <w:top w:val="nil"/>
              <w:left w:val="nil"/>
              <w:bottom w:val="single" w:sz="4" w:space="0" w:color="auto"/>
              <w:right w:val="single" w:sz="4" w:space="0" w:color="auto"/>
            </w:tcBorders>
            <w:shd w:val="clear" w:color="000000" w:fill="FFFF00"/>
            <w:noWrap/>
            <w:vAlign w:val="center"/>
            <w:hideMark/>
          </w:tcPr>
          <w:p w14:paraId="75E4951B" w14:textId="1B07731E"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61</w:t>
            </w:r>
          </w:p>
        </w:tc>
        <w:tc>
          <w:tcPr>
            <w:tcW w:w="729" w:type="pct"/>
            <w:tcBorders>
              <w:top w:val="nil"/>
              <w:left w:val="nil"/>
              <w:bottom w:val="single" w:sz="4" w:space="0" w:color="auto"/>
              <w:right w:val="single" w:sz="4" w:space="0" w:color="auto"/>
            </w:tcBorders>
            <w:shd w:val="clear" w:color="000000" w:fill="FFFF00"/>
            <w:noWrap/>
            <w:vAlign w:val="center"/>
            <w:hideMark/>
          </w:tcPr>
          <w:p w14:paraId="5D3927D7" w14:textId="05F678FD"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8</w:t>
            </w:r>
          </w:p>
        </w:tc>
        <w:tc>
          <w:tcPr>
            <w:tcW w:w="693" w:type="pct"/>
            <w:tcBorders>
              <w:top w:val="nil"/>
              <w:left w:val="nil"/>
              <w:bottom w:val="nil"/>
              <w:right w:val="nil"/>
            </w:tcBorders>
            <w:shd w:val="clear" w:color="000000" w:fill="D9D9D9"/>
            <w:noWrap/>
            <w:vAlign w:val="bottom"/>
            <w:hideMark/>
          </w:tcPr>
          <w:p w14:paraId="74BA46D5" w14:textId="2D4094B2"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88%</w:t>
            </w:r>
          </w:p>
        </w:tc>
        <w:tc>
          <w:tcPr>
            <w:tcW w:w="695" w:type="pct"/>
            <w:tcBorders>
              <w:top w:val="nil"/>
              <w:left w:val="nil"/>
              <w:bottom w:val="nil"/>
              <w:right w:val="nil"/>
            </w:tcBorders>
            <w:shd w:val="clear" w:color="000000" w:fill="D9D9D9"/>
            <w:noWrap/>
            <w:vAlign w:val="bottom"/>
            <w:hideMark/>
          </w:tcPr>
          <w:p w14:paraId="293C5084" w14:textId="72D19CA7"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12%</w:t>
            </w:r>
          </w:p>
        </w:tc>
      </w:tr>
      <w:tr w:rsidR="00FD0F3F" w:rsidRPr="00C865B3" w14:paraId="1D1000C8" w14:textId="77777777" w:rsidTr="001A7BE1">
        <w:trPr>
          <w:trHeight w:val="720"/>
        </w:trPr>
        <w:tc>
          <w:tcPr>
            <w:tcW w:w="693" w:type="pct"/>
            <w:tcBorders>
              <w:top w:val="nil"/>
              <w:left w:val="nil"/>
              <w:bottom w:val="nil"/>
              <w:right w:val="nil"/>
            </w:tcBorders>
            <w:shd w:val="clear" w:color="000000" w:fill="D9D9D9"/>
            <w:vAlign w:val="center"/>
            <w:hideMark/>
          </w:tcPr>
          <w:p w14:paraId="644296D5" w14:textId="637D368E"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69A14EC1" w14:textId="5F8B0AC9"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6C573919" w14:textId="7D8DDFEA"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9</w:t>
            </w:r>
          </w:p>
        </w:tc>
        <w:tc>
          <w:tcPr>
            <w:tcW w:w="729" w:type="pct"/>
            <w:tcBorders>
              <w:top w:val="nil"/>
              <w:left w:val="nil"/>
              <w:bottom w:val="single" w:sz="4" w:space="0" w:color="auto"/>
              <w:right w:val="single" w:sz="4" w:space="0" w:color="auto"/>
            </w:tcBorders>
            <w:shd w:val="clear" w:color="000000" w:fill="FFFF00"/>
            <w:noWrap/>
            <w:vAlign w:val="center"/>
            <w:hideMark/>
          </w:tcPr>
          <w:p w14:paraId="69365F01" w14:textId="51182D5D"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4</w:t>
            </w:r>
          </w:p>
        </w:tc>
        <w:tc>
          <w:tcPr>
            <w:tcW w:w="729" w:type="pct"/>
            <w:tcBorders>
              <w:top w:val="nil"/>
              <w:left w:val="nil"/>
              <w:bottom w:val="single" w:sz="4" w:space="0" w:color="auto"/>
              <w:right w:val="single" w:sz="4" w:space="0" w:color="auto"/>
            </w:tcBorders>
            <w:shd w:val="clear" w:color="000000" w:fill="FFFF00"/>
            <w:noWrap/>
            <w:vAlign w:val="center"/>
            <w:hideMark/>
          </w:tcPr>
          <w:p w14:paraId="65E78AFE" w14:textId="06E43A8D"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5</w:t>
            </w:r>
          </w:p>
        </w:tc>
        <w:tc>
          <w:tcPr>
            <w:tcW w:w="693" w:type="pct"/>
            <w:tcBorders>
              <w:top w:val="nil"/>
              <w:left w:val="nil"/>
              <w:bottom w:val="nil"/>
              <w:right w:val="nil"/>
            </w:tcBorders>
            <w:shd w:val="clear" w:color="000000" w:fill="D9D9D9"/>
            <w:noWrap/>
            <w:vAlign w:val="bottom"/>
            <w:hideMark/>
          </w:tcPr>
          <w:p w14:paraId="7ECC261C" w14:textId="27DF2A5E"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44%</w:t>
            </w:r>
          </w:p>
        </w:tc>
        <w:tc>
          <w:tcPr>
            <w:tcW w:w="695" w:type="pct"/>
            <w:tcBorders>
              <w:top w:val="nil"/>
              <w:left w:val="nil"/>
              <w:bottom w:val="nil"/>
              <w:right w:val="nil"/>
            </w:tcBorders>
            <w:shd w:val="clear" w:color="000000" w:fill="D9D9D9"/>
            <w:noWrap/>
            <w:vAlign w:val="bottom"/>
            <w:hideMark/>
          </w:tcPr>
          <w:p w14:paraId="78DEF954" w14:textId="57AA1FDC"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56%</w:t>
            </w:r>
          </w:p>
        </w:tc>
      </w:tr>
      <w:tr w:rsidR="00FD0F3F" w:rsidRPr="00C865B3" w14:paraId="06B5B8D4" w14:textId="77777777" w:rsidTr="001A7BE1">
        <w:trPr>
          <w:trHeight w:val="720"/>
        </w:trPr>
        <w:tc>
          <w:tcPr>
            <w:tcW w:w="693" w:type="pct"/>
            <w:tcBorders>
              <w:top w:val="nil"/>
              <w:left w:val="nil"/>
              <w:bottom w:val="nil"/>
              <w:right w:val="nil"/>
            </w:tcBorders>
            <w:shd w:val="clear" w:color="000000" w:fill="D9D9D9"/>
            <w:vAlign w:val="center"/>
            <w:hideMark/>
          </w:tcPr>
          <w:p w14:paraId="09FAB67A" w14:textId="5827790B"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Substance Use Disorder Benefits</w:t>
            </w:r>
          </w:p>
        </w:tc>
        <w:tc>
          <w:tcPr>
            <w:tcW w:w="732" w:type="pct"/>
            <w:tcBorders>
              <w:top w:val="nil"/>
              <w:left w:val="nil"/>
              <w:bottom w:val="nil"/>
              <w:right w:val="nil"/>
            </w:tcBorders>
            <w:shd w:val="clear" w:color="000000" w:fill="D9D9D9"/>
            <w:vAlign w:val="center"/>
            <w:hideMark/>
          </w:tcPr>
          <w:p w14:paraId="7237142C" w14:textId="3983FD12"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INN-Inpatient</w:t>
            </w:r>
          </w:p>
        </w:tc>
        <w:tc>
          <w:tcPr>
            <w:tcW w:w="729" w:type="pct"/>
            <w:tcBorders>
              <w:top w:val="nil"/>
              <w:left w:val="single" w:sz="4" w:space="0" w:color="auto"/>
              <w:bottom w:val="single" w:sz="4" w:space="0" w:color="auto"/>
              <w:right w:val="single" w:sz="4" w:space="0" w:color="auto"/>
            </w:tcBorders>
            <w:shd w:val="clear" w:color="000000" w:fill="FFFF00"/>
            <w:vAlign w:val="center"/>
            <w:hideMark/>
          </w:tcPr>
          <w:p w14:paraId="460DE27B" w14:textId="187E83BF"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1DB66453" w14:textId="7AD5D00A"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79337D3F" w14:textId="12315CB3"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4758C376" w14:textId="35EFFACF"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334F5D29" w14:textId="07BF6230"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4B095FF7" w14:textId="77777777" w:rsidTr="001A7BE1">
        <w:trPr>
          <w:trHeight w:val="720"/>
        </w:trPr>
        <w:tc>
          <w:tcPr>
            <w:tcW w:w="693" w:type="pct"/>
            <w:tcBorders>
              <w:top w:val="nil"/>
              <w:left w:val="nil"/>
              <w:bottom w:val="nil"/>
              <w:right w:val="nil"/>
            </w:tcBorders>
            <w:shd w:val="clear" w:color="000000" w:fill="D9D9D9"/>
            <w:vAlign w:val="center"/>
            <w:hideMark/>
          </w:tcPr>
          <w:p w14:paraId="048042B5" w14:textId="65161AB6"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478BDB3E" w14:textId="05245C13"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OON-Inpatient</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5B66A9EC" w14:textId="42638589"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0C9198C1" w14:textId="3BDFC04C"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489DEBAB" w14:textId="7E8D8046"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6D66EADE" w14:textId="44B53783"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204D2822" w14:textId="0BDB9979"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3920C827" w14:textId="77777777" w:rsidTr="001A7BE1">
        <w:trPr>
          <w:trHeight w:val="720"/>
        </w:trPr>
        <w:tc>
          <w:tcPr>
            <w:tcW w:w="693" w:type="pct"/>
            <w:tcBorders>
              <w:top w:val="nil"/>
              <w:left w:val="nil"/>
              <w:bottom w:val="nil"/>
              <w:right w:val="nil"/>
            </w:tcBorders>
            <w:shd w:val="clear" w:color="000000" w:fill="D9D9D9"/>
            <w:vAlign w:val="center"/>
            <w:hideMark/>
          </w:tcPr>
          <w:p w14:paraId="41B368BD" w14:textId="2217D5ED"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1AC5E49E" w14:textId="6DC7D10E"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Emergency Services</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34E03F97" w14:textId="515ACF25"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12</w:t>
            </w:r>
          </w:p>
        </w:tc>
        <w:tc>
          <w:tcPr>
            <w:tcW w:w="729" w:type="pct"/>
            <w:tcBorders>
              <w:top w:val="nil"/>
              <w:left w:val="nil"/>
              <w:bottom w:val="single" w:sz="4" w:space="0" w:color="auto"/>
              <w:right w:val="single" w:sz="4" w:space="0" w:color="auto"/>
            </w:tcBorders>
            <w:shd w:val="clear" w:color="000000" w:fill="FFFF00"/>
            <w:noWrap/>
            <w:vAlign w:val="center"/>
            <w:hideMark/>
          </w:tcPr>
          <w:p w14:paraId="19F4548E" w14:textId="0BA6C882"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11</w:t>
            </w:r>
          </w:p>
        </w:tc>
        <w:tc>
          <w:tcPr>
            <w:tcW w:w="729" w:type="pct"/>
            <w:tcBorders>
              <w:top w:val="nil"/>
              <w:left w:val="nil"/>
              <w:bottom w:val="single" w:sz="4" w:space="0" w:color="auto"/>
              <w:right w:val="single" w:sz="4" w:space="0" w:color="auto"/>
            </w:tcBorders>
            <w:shd w:val="clear" w:color="000000" w:fill="FFFF00"/>
            <w:noWrap/>
            <w:vAlign w:val="center"/>
            <w:hideMark/>
          </w:tcPr>
          <w:p w14:paraId="4D5C971D" w14:textId="3C4A68EF"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w:t>
            </w:r>
          </w:p>
        </w:tc>
        <w:tc>
          <w:tcPr>
            <w:tcW w:w="693" w:type="pct"/>
            <w:tcBorders>
              <w:top w:val="nil"/>
              <w:left w:val="nil"/>
              <w:bottom w:val="nil"/>
              <w:right w:val="nil"/>
            </w:tcBorders>
            <w:shd w:val="clear" w:color="000000" w:fill="D9D9D9"/>
            <w:noWrap/>
            <w:vAlign w:val="bottom"/>
            <w:hideMark/>
          </w:tcPr>
          <w:p w14:paraId="741E10F8" w14:textId="11945D52"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92%</w:t>
            </w:r>
          </w:p>
        </w:tc>
        <w:tc>
          <w:tcPr>
            <w:tcW w:w="695" w:type="pct"/>
            <w:tcBorders>
              <w:top w:val="nil"/>
              <w:left w:val="nil"/>
              <w:bottom w:val="nil"/>
              <w:right w:val="nil"/>
            </w:tcBorders>
            <w:shd w:val="clear" w:color="000000" w:fill="D9D9D9"/>
            <w:noWrap/>
            <w:vAlign w:val="bottom"/>
            <w:hideMark/>
          </w:tcPr>
          <w:p w14:paraId="407DE757" w14:textId="64FB2C8D"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8%</w:t>
            </w:r>
          </w:p>
        </w:tc>
      </w:tr>
      <w:tr w:rsidR="00FD0F3F" w:rsidRPr="00C865B3" w14:paraId="1EEBC17F" w14:textId="77777777" w:rsidTr="001A7BE1">
        <w:trPr>
          <w:trHeight w:val="720"/>
        </w:trPr>
        <w:tc>
          <w:tcPr>
            <w:tcW w:w="693" w:type="pct"/>
            <w:tcBorders>
              <w:top w:val="nil"/>
              <w:left w:val="nil"/>
              <w:bottom w:val="nil"/>
              <w:right w:val="nil"/>
            </w:tcBorders>
            <w:shd w:val="clear" w:color="000000" w:fill="D9D9D9"/>
            <w:vAlign w:val="center"/>
            <w:hideMark/>
          </w:tcPr>
          <w:p w14:paraId="39AB47F3" w14:textId="0FB10319"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7AF40F90" w14:textId="2067D70B"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RX</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000602CC" w14:textId="18E188B0"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01A60CC7" w14:textId="4793C391"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5A44D867" w14:textId="616C840F"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1E2ED210" w14:textId="4A2A456B"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053D622B" w14:textId="2989FC55"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405CF2ED" w14:textId="77777777" w:rsidTr="001A7BE1">
        <w:trPr>
          <w:trHeight w:val="720"/>
        </w:trPr>
        <w:tc>
          <w:tcPr>
            <w:tcW w:w="693" w:type="pct"/>
            <w:tcBorders>
              <w:top w:val="nil"/>
              <w:left w:val="nil"/>
              <w:bottom w:val="nil"/>
              <w:right w:val="nil"/>
            </w:tcBorders>
            <w:shd w:val="clear" w:color="000000" w:fill="D9D9D9"/>
            <w:vAlign w:val="center"/>
            <w:hideMark/>
          </w:tcPr>
          <w:p w14:paraId="556AEF9D" w14:textId="3FCD2202"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02774902" w14:textId="4A1333B8"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INN-Outpatient-Office</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35388594" w14:textId="5C3C2AE0"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54694CEB" w14:textId="0A4C9194"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66B8AF28" w14:textId="729FF7AE"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56247EED" w14:textId="26E3AC88"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51262B6E" w14:textId="52F173E0"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64404067" w14:textId="77777777" w:rsidTr="001A7BE1">
        <w:trPr>
          <w:trHeight w:val="720"/>
        </w:trPr>
        <w:tc>
          <w:tcPr>
            <w:tcW w:w="693" w:type="pct"/>
            <w:tcBorders>
              <w:top w:val="nil"/>
              <w:left w:val="nil"/>
              <w:bottom w:val="nil"/>
              <w:right w:val="nil"/>
            </w:tcBorders>
            <w:shd w:val="clear" w:color="000000" w:fill="D9D9D9"/>
            <w:vAlign w:val="center"/>
            <w:hideMark/>
          </w:tcPr>
          <w:p w14:paraId="48E05161" w14:textId="0DE972AC"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609EC390" w14:textId="02AA19A1"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OON-Outpatient-Office</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45C15689" w14:textId="4009F2E0"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25219CD7" w14:textId="08F73711"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158A9A22" w14:textId="4920D174"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0147BC68" w14:textId="05689DB7"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3813A225" w14:textId="099685C2"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0E3BF4B1" w14:textId="77777777" w:rsidTr="001A7BE1">
        <w:trPr>
          <w:trHeight w:val="720"/>
        </w:trPr>
        <w:tc>
          <w:tcPr>
            <w:tcW w:w="693" w:type="pct"/>
            <w:tcBorders>
              <w:top w:val="nil"/>
              <w:left w:val="nil"/>
              <w:bottom w:val="nil"/>
              <w:right w:val="nil"/>
            </w:tcBorders>
            <w:shd w:val="clear" w:color="000000" w:fill="D9D9D9"/>
            <w:vAlign w:val="center"/>
            <w:hideMark/>
          </w:tcPr>
          <w:p w14:paraId="0FF3A85B" w14:textId="11D85F56"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118E64FB" w14:textId="652D11F1"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1EC4B452" w14:textId="262B5A3E"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7B467E09" w14:textId="5858DDB8"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5A5E0DB6" w14:textId="5584C3F8"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6540F56D" w14:textId="0FA88D00"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08144F89" w14:textId="3E596607"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16DCF4A9" w14:textId="77777777" w:rsidTr="001A7BE1">
        <w:trPr>
          <w:trHeight w:val="720"/>
        </w:trPr>
        <w:tc>
          <w:tcPr>
            <w:tcW w:w="693" w:type="pct"/>
            <w:tcBorders>
              <w:top w:val="nil"/>
              <w:left w:val="nil"/>
              <w:bottom w:val="nil"/>
              <w:right w:val="nil"/>
            </w:tcBorders>
            <w:shd w:val="clear" w:color="000000" w:fill="D9D9D9"/>
            <w:vAlign w:val="center"/>
            <w:hideMark/>
          </w:tcPr>
          <w:p w14:paraId="2D26ED70" w14:textId="0F9150D8"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496FB1EF" w14:textId="5C55118D"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5D0A0C44" w14:textId="7DBE76F2"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658582DD" w14:textId="2D22315F"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4DFA4348" w14:textId="34D37589"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14F409AF" w14:textId="49B6D303"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712440F5" w14:textId="303DDC05"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2ABD1C8E" w14:textId="77777777" w:rsidTr="001A7BE1">
        <w:trPr>
          <w:trHeight w:val="720"/>
        </w:trPr>
        <w:tc>
          <w:tcPr>
            <w:tcW w:w="693" w:type="pct"/>
            <w:tcBorders>
              <w:top w:val="nil"/>
              <w:left w:val="nil"/>
              <w:bottom w:val="nil"/>
              <w:right w:val="nil"/>
            </w:tcBorders>
            <w:shd w:val="clear" w:color="000000" w:fill="D9D9D9"/>
            <w:vAlign w:val="center"/>
            <w:hideMark/>
          </w:tcPr>
          <w:p w14:paraId="35A2C266" w14:textId="24402A67"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Medical /Surgical Benefits</w:t>
            </w:r>
          </w:p>
        </w:tc>
        <w:tc>
          <w:tcPr>
            <w:tcW w:w="732" w:type="pct"/>
            <w:tcBorders>
              <w:top w:val="nil"/>
              <w:left w:val="nil"/>
              <w:bottom w:val="nil"/>
              <w:right w:val="nil"/>
            </w:tcBorders>
            <w:shd w:val="clear" w:color="000000" w:fill="D9D9D9"/>
            <w:vAlign w:val="center"/>
            <w:hideMark/>
          </w:tcPr>
          <w:p w14:paraId="40089613" w14:textId="5031F032"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INN-Inpatient</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24723AA2" w14:textId="5B25C8B3"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4D4029A0" w14:textId="0A82AE0A"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3189B19F" w14:textId="169D1734"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0A6FFA14" w14:textId="601162A3"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04D99887" w14:textId="65DDD14F"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3E79D2F5" w14:textId="77777777" w:rsidTr="001A7BE1">
        <w:trPr>
          <w:trHeight w:val="720"/>
        </w:trPr>
        <w:tc>
          <w:tcPr>
            <w:tcW w:w="693" w:type="pct"/>
            <w:tcBorders>
              <w:top w:val="nil"/>
              <w:left w:val="nil"/>
              <w:bottom w:val="nil"/>
              <w:right w:val="nil"/>
            </w:tcBorders>
            <w:shd w:val="clear" w:color="000000" w:fill="D9D9D9"/>
            <w:vAlign w:val="center"/>
            <w:hideMark/>
          </w:tcPr>
          <w:p w14:paraId="33FD3F31" w14:textId="4F13763D"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156DF8D8" w14:textId="340F9E94"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OON-Inpatient</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36F0393B" w14:textId="7252562E"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38D06034" w14:textId="173ACCAA"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2D078794" w14:textId="7B7F7EF1"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14E906B2" w14:textId="5DA62959"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4AB28A8B" w14:textId="21D6A622"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33A72595" w14:textId="77777777" w:rsidTr="001A7BE1">
        <w:trPr>
          <w:trHeight w:val="720"/>
        </w:trPr>
        <w:tc>
          <w:tcPr>
            <w:tcW w:w="693" w:type="pct"/>
            <w:tcBorders>
              <w:top w:val="nil"/>
              <w:left w:val="nil"/>
              <w:bottom w:val="nil"/>
              <w:right w:val="nil"/>
            </w:tcBorders>
            <w:shd w:val="clear" w:color="000000" w:fill="D9D9D9"/>
            <w:vAlign w:val="center"/>
            <w:hideMark/>
          </w:tcPr>
          <w:p w14:paraId="629EE063" w14:textId="7A2BFC8E"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04131893" w14:textId="7368049D"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Emergency Services</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6BA27460" w14:textId="42BCF641"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525770D3" w14:textId="40562231"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7F90227E" w14:textId="66B8C410"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578845CA" w14:textId="013103ED"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21EA46B4" w14:textId="00BF60DB"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3DE05722" w14:textId="77777777" w:rsidTr="001A7BE1">
        <w:trPr>
          <w:trHeight w:val="720"/>
        </w:trPr>
        <w:tc>
          <w:tcPr>
            <w:tcW w:w="693" w:type="pct"/>
            <w:tcBorders>
              <w:top w:val="nil"/>
              <w:left w:val="nil"/>
              <w:bottom w:val="nil"/>
              <w:right w:val="nil"/>
            </w:tcBorders>
            <w:shd w:val="clear" w:color="000000" w:fill="D9D9D9"/>
            <w:vAlign w:val="center"/>
            <w:hideMark/>
          </w:tcPr>
          <w:p w14:paraId="2E5995D4" w14:textId="396CDEFE"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3DD5B18B" w14:textId="2037220B"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RX</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4A08FEEE" w14:textId="6E5C35B6"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937</w:t>
            </w:r>
          </w:p>
        </w:tc>
        <w:tc>
          <w:tcPr>
            <w:tcW w:w="729" w:type="pct"/>
            <w:tcBorders>
              <w:top w:val="nil"/>
              <w:left w:val="nil"/>
              <w:bottom w:val="single" w:sz="4" w:space="0" w:color="auto"/>
              <w:right w:val="single" w:sz="4" w:space="0" w:color="auto"/>
            </w:tcBorders>
            <w:shd w:val="clear" w:color="000000" w:fill="FFFF00"/>
            <w:noWrap/>
            <w:vAlign w:val="center"/>
            <w:hideMark/>
          </w:tcPr>
          <w:p w14:paraId="5628DDB5" w14:textId="371B2CBF"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575</w:t>
            </w:r>
          </w:p>
        </w:tc>
        <w:tc>
          <w:tcPr>
            <w:tcW w:w="729" w:type="pct"/>
            <w:tcBorders>
              <w:top w:val="nil"/>
              <w:left w:val="nil"/>
              <w:bottom w:val="single" w:sz="4" w:space="0" w:color="auto"/>
              <w:right w:val="single" w:sz="4" w:space="0" w:color="auto"/>
            </w:tcBorders>
            <w:shd w:val="clear" w:color="000000" w:fill="FFFF00"/>
            <w:noWrap/>
            <w:vAlign w:val="center"/>
            <w:hideMark/>
          </w:tcPr>
          <w:p w14:paraId="78CE3C25" w14:textId="450E505C"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362</w:t>
            </w:r>
          </w:p>
        </w:tc>
        <w:tc>
          <w:tcPr>
            <w:tcW w:w="693" w:type="pct"/>
            <w:tcBorders>
              <w:top w:val="nil"/>
              <w:left w:val="nil"/>
              <w:bottom w:val="nil"/>
              <w:right w:val="nil"/>
            </w:tcBorders>
            <w:shd w:val="clear" w:color="000000" w:fill="D9D9D9"/>
            <w:noWrap/>
            <w:vAlign w:val="bottom"/>
            <w:hideMark/>
          </w:tcPr>
          <w:p w14:paraId="1AE65E04" w14:textId="618ABFC7"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61%</w:t>
            </w:r>
          </w:p>
        </w:tc>
        <w:tc>
          <w:tcPr>
            <w:tcW w:w="695" w:type="pct"/>
            <w:tcBorders>
              <w:top w:val="nil"/>
              <w:left w:val="nil"/>
              <w:bottom w:val="nil"/>
              <w:right w:val="nil"/>
            </w:tcBorders>
            <w:shd w:val="clear" w:color="000000" w:fill="D9D9D9"/>
            <w:noWrap/>
            <w:vAlign w:val="bottom"/>
            <w:hideMark/>
          </w:tcPr>
          <w:p w14:paraId="12B17BA0" w14:textId="56CAE8FA"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39%</w:t>
            </w:r>
          </w:p>
        </w:tc>
      </w:tr>
      <w:tr w:rsidR="00FD0F3F" w:rsidRPr="00C865B3" w14:paraId="11EC0A71" w14:textId="77777777" w:rsidTr="001A7BE1">
        <w:trPr>
          <w:trHeight w:val="520"/>
        </w:trPr>
        <w:tc>
          <w:tcPr>
            <w:tcW w:w="693" w:type="pct"/>
            <w:tcBorders>
              <w:top w:val="nil"/>
              <w:left w:val="nil"/>
              <w:bottom w:val="nil"/>
              <w:right w:val="nil"/>
            </w:tcBorders>
            <w:shd w:val="clear" w:color="000000" w:fill="D9D9D9"/>
            <w:vAlign w:val="center"/>
            <w:hideMark/>
          </w:tcPr>
          <w:p w14:paraId="627B7B0E" w14:textId="00D6A6B2"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362CC1C5" w14:textId="4E0971FB"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INN-Outpatient-Office</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6E127BCE" w14:textId="072E687E"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196</w:t>
            </w:r>
          </w:p>
        </w:tc>
        <w:tc>
          <w:tcPr>
            <w:tcW w:w="729" w:type="pct"/>
            <w:tcBorders>
              <w:top w:val="nil"/>
              <w:left w:val="nil"/>
              <w:bottom w:val="single" w:sz="4" w:space="0" w:color="auto"/>
              <w:right w:val="single" w:sz="4" w:space="0" w:color="auto"/>
            </w:tcBorders>
            <w:shd w:val="clear" w:color="000000" w:fill="FFFF00"/>
            <w:noWrap/>
            <w:vAlign w:val="center"/>
            <w:hideMark/>
          </w:tcPr>
          <w:p w14:paraId="5624747D" w14:textId="2504A4FE"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196</w:t>
            </w:r>
          </w:p>
        </w:tc>
        <w:tc>
          <w:tcPr>
            <w:tcW w:w="729" w:type="pct"/>
            <w:tcBorders>
              <w:top w:val="nil"/>
              <w:left w:val="nil"/>
              <w:bottom w:val="single" w:sz="4" w:space="0" w:color="auto"/>
              <w:right w:val="single" w:sz="4" w:space="0" w:color="auto"/>
            </w:tcBorders>
            <w:shd w:val="clear" w:color="000000" w:fill="FFFF00"/>
            <w:noWrap/>
            <w:vAlign w:val="center"/>
            <w:hideMark/>
          </w:tcPr>
          <w:p w14:paraId="4F95B38E" w14:textId="60AF6220"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3D1627C0" w14:textId="14AE6BE7"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15FFD070" w14:textId="58A51FF7"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FD0F3F" w:rsidRPr="00C865B3" w14:paraId="7E03358F" w14:textId="77777777" w:rsidTr="001A7BE1">
        <w:trPr>
          <w:trHeight w:val="720"/>
        </w:trPr>
        <w:tc>
          <w:tcPr>
            <w:tcW w:w="693" w:type="pct"/>
            <w:tcBorders>
              <w:top w:val="nil"/>
              <w:left w:val="nil"/>
              <w:bottom w:val="nil"/>
              <w:right w:val="nil"/>
            </w:tcBorders>
            <w:shd w:val="clear" w:color="000000" w:fill="D9D9D9"/>
            <w:vAlign w:val="center"/>
            <w:hideMark/>
          </w:tcPr>
          <w:p w14:paraId="27595BE8" w14:textId="0784D379"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2A27985E" w14:textId="6E94CDC2"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OON-Outpatient-Office</w:t>
            </w:r>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4C0D13C2" w14:textId="58608E82"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6</w:t>
            </w:r>
          </w:p>
        </w:tc>
        <w:tc>
          <w:tcPr>
            <w:tcW w:w="729" w:type="pct"/>
            <w:tcBorders>
              <w:top w:val="nil"/>
              <w:left w:val="nil"/>
              <w:bottom w:val="single" w:sz="4" w:space="0" w:color="auto"/>
              <w:right w:val="single" w:sz="4" w:space="0" w:color="auto"/>
            </w:tcBorders>
            <w:shd w:val="clear" w:color="000000" w:fill="FFFF00"/>
            <w:noWrap/>
            <w:vAlign w:val="center"/>
            <w:hideMark/>
          </w:tcPr>
          <w:p w14:paraId="2CBBC980" w14:textId="615F595B"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6</w:t>
            </w:r>
          </w:p>
        </w:tc>
        <w:tc>
          <w:tcPr>
            <w:tcW w:w="729" w:type="pct"/>
            <w:tcBorders>
              <w:top w:val="nil"/>
              <w:left w:val="nil"/>
              <w:bottom w:val="single" w:sz="4" w:space="0" w:color="auto"/>
              <w:right w:val="single" w:sz="4" w:space="0" w:color="auto"/>
            </w:tcBorders>
            <w:shd w:val="clear" w:color="000000" w:fill="FFFF00"/>
            <w:noWrap/>
            <w:vAlign w:val="center"/>
            <w:hideMark/>
          </w:tcPr>
          <w:p w14:paraId="3B2E0D0A" w14:textId="22499069"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70B714CB" w14:textId="58E81E37"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3AA5999F" w14:textId="248AD199"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FD0F3F" w:rsidRPr="00C865B3" w14:paraId="39F11531" w14:textId="77777777" w:rsidTr="001A7BE1">
        <w:trPr>
          <w:trHeight w:val="720"/>
        </w:trPr>
        <w:tc>
          <w:tcPr>
            <w:tcW w:w="693" w:type="pct"/>
            <w:tcBorders>
              <w:top w:val="nil"/>
              <w:left w:val="nil"/>
              <w:bottom w:val="nil"/>
              <w:right w:val="nil"/>
            </w:tcBorders>
            <w:shd w:val="clear" w:color="000000" w:fill="D9D9D9"/>
            <w:vAlign w:val="center"/>
            <w:hideMark/>
          </w:tcPr>
          <w:p w14:paraId="5C2AB61E" w14:textId="5EC41504"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6D9990CF" w14:textId="443D5606"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INN-Outpatient-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37555554" w14:textId="7DB4B432"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16</w:t>
            </w:r>
          </w:p>
        </w:tc>
        <w:tc>
          <w:tcPr>
            <w:tcW w:w="729" w:type="pct"/>
            <w:tcBorders>
              <w:top w:val="nil"/>
              <w:left w:val="nil"/>
              <w:bottom w:val="single" w:sz="4" w:space="0" w:color="auto"/>
              <w:right w:val="single" w:sz="4" w:space="0" w:color="auto"/>
            </w:tcBorders>
            <w:shd w:val="clear" w:color="000000" w:fill="FFFF00"/>
            <w:noWrap/>
            <w:vAlign w:val="center"/>
            <w:hideMark/>
          </w:tcPr>
          <w:p w14:paraId="5FB7425E" w14:textId="63149A65"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16</w:t>
            </w:r>
          </w:p>
        </w:tc>
        <w:tc>
          <w:tcPr>
            <w:tcW w:w="729" w:type="pct"/>
            <w:tcBorders>
              <w:top w:val="nil"/>
              <w:left w:val="nil"/>
              <w:bottom w:val="single" w:sz="4" w:space="0" w:color="auto"/>
              <w:right w:val="single" w:sz="4" w:space="0" w:color="auto"/>
            </w:tcBorders>
            <w:shd w:val="clear" w:color="000000" w:fill="FFFF00"/>
            <w:noWrap/>
            <w:vAlign w:val="center"/>
            <w:hideMark/>
          </w:tcPr>
          <w:p w14:paraId="1479FB99" w14:textId="04057866"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26B5E231" w14:textId="56578E6A"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100%</w:t>
            </w:r>
          </w:p>
        </w:tc>
        <w:tc>
          <w:tcPr>
            <w:tcW w:w="695" w:type="pct"/>
            <w:tcBorders>
              <w:top w:val="nil"/>
              <w:left w:val="nil"/>
              <w:bottom w:val="nil"/>
              <w:right w:val="nil"/>
            </w:tcBorders>
            <w:shd w:val="clear" w:color="000000" w:fill="D9D9D9"/>
            <w:noWrap/>
            <w:vAlign w:val="bottom"/>
            <w:hideMark/>
          </w:tcPr>
          <w:p w14:paraId="2AB341D3" w14:textId="17D35FD8"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0%</w:t>
            </w:r>
          </w:p>
        </w:tc>
      </w:tr>
      <w:tr w:rsidR="00FD0F3F" w:rsidRPr="00C865B3" w14:paraId="6A92041F" w14:textId="77777777" w:rsidTr="001A7BE1">
        <w:trPr>
          <w:trHeight w:val="720"/>
        </w:trPr>
        <w:tc>
          <w:tcPr>
            <w:tcW w:w="693" w:type="pct"/>
            <w:tcBorders>
              <w:top w:val="nil"/>
              <w:left w:val="nil"/>
              <w:bottom w:val="nil"/>
              <w:right w:val="nil"/>
            </w:tcBorders>
            <w:shd w:val="clear" w:color="000000" w:fill="D9D9D9"/>
            <w:vAlign w:val="center"/>
            <w:hideMark/>
          </w:tcPr>
          <w:p w14:paraId="70C6D4F6" w14:textId="50F7B983"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 </w:t>
            </w:r>
          </w:p>
        </w:tc>
        <w:tc>
          <w:tcPr>
            <w:tcW w:w="732" w:type="pct"/>
            <w:tcBorders>
              <w:top w:val="nil"/>
              <w:left w:val="nil"/>
              <w:bottom w:val="nil"/>
              <w:right w:val="nil"/>
            </w:tcBorders>
            <w:shd w:val="clear" w:color="000000" w:fill="D9D9D9"/>
            <w:vAlign w:val="center"/>
            <w:hideMark/>
          </w:tcPr>
          <w:p w14:paraId="16E4CB3E" w14:textId="4740E69D" w:rsidR="00FD0F3F" w:rsidRPr="00C865B3" w:rsidRDefault="00FD0F3F" w:rsidP="00C865B3">
            <w:pPr>
              <w:spacing w:after="0" w:line="240" w:lineRule="auto"/>
              <w:rPr>
                <w:rFonts w:ascii="Century Gothic" w:eastAsia="Times New Roman" w:hAnsi="Century Gothic" w:cs="Arial"/>
                <w:b/>
                <w:bCs/>
                <w:sz w:val="18"/>
                <w:szCs w:val="18"/>
              </w:rPr>
            </w:pPr>
            <w:r w:rsidRPr="00C865B3">
              <w:rPr>
                <w:rFonts w:ascii="Century Gothic" w:eastAsia="Times New Roman" w:hAnsi="Century Gothic" w:cs="Arial"/>
                <w:b/>
                <w:bCs/>
                <w:sz w:val="18"/>
                <w:szCs w:val="18"/>
              </w:rPr>
              <w:t>OON-Outpatient-</w:t>
            </w:r>
            <w:proofErr w:type="spellStart"/>
            <w:r w:rsidRPr="00C865B3">
              <w:rPr>
                <w:rFonts w:ascii="Century Gothic" w:eastAsia="Times New Roman" w:hAnsi="Century Gothic" w:cs="Arial"/>
                <w:b/>
                <w:bCs/>
                <w:sz w:val="18"/>
                <w:szCs w:val="18"/>
              </w:rPr>
              <w:t>AllOther</w:t>
            </w:r>
            <w:proofErr w:type="spellEnd"/>
          </w:p>
        </w:tc>
        <w:tc>
          <w:tcPr>
            <w:tcW w:w="729" w:type="pct"/>
            <w:tcBorders>
              <w:top w:val="nil"/>
              <w:left w:val="single" w:sz="4" w:space="0" w:color="auto"/>
              <w:bottom w:val="single" w:sz="4" w:space="0" w:color="auto"/>
              <w:right w:val="single" w:sz="4" w:space="0" w:color="auto"/>
            </w:tcBorders>
            <w:shd w:val="clear" w:color="000000" w:fill="FFFF00"/>
            <w:noWrap/>
            <w:vAlign w:val="center"/>
            <w:hideMark/>
          </w:tcPr>
          <w:p w14:paraId="6255D653" w14:textId="52A461D7"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120C0EF6" w14:textId="4A729830"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729" w:type="pct"/>
            <w:tcBorders>
              <w:top w:val="nil"/>
              <w:left w:val="nil"/>
              <w:bottom w:val="single" w:sz="4" w:space="0" w:color="auto"/>
              <w:right w:val="single" w:sz="4" w:space="0" w:color="auto"/>
            </w:tcBorders>
            <w:shd w:val="clear" w:color="000000" w:fill="FFFF00"/>
            <w:noWrap/>
            <w:vAlign w:val="center"/>
            <w:hideMark/>
          </w:tcPr>
          <w:p w14:paraId="73A6C0EA" w14:textId="607AD4BD" w:rsidR="00FD0F3F" w:rsidRPr="00C865B3" w:rsidRDefault="00FD0F3F" w:rsidP="00C865B3">
            <w:pPr>
              <w:spacing w:after="0" w:line="240" w:lineRule="auto"/>
              <w:jc w:val="center"/>
              <w:rPr>
                <w:rFonts w:ascii="Century Gothic" w:eastAsia="Times New Roman" w:hAnsi="Century Gothic" w:cs="Calibri"/>
                <w:sz w:val="18"/>
                <w:szCs w:val="18"/>
              </w:rPr>
            </w:pPr>
            <w:r w:rsidRPr="00C865B3">
              <w:rPr>
                <w:rFonts w:ascii="Century Gothic" w:eastAsia="Times New Roman" w:hAnsi="Century Gothic" w:cs="Calibri"/>
                <w:sz w:val="18"/>
                <w:szCs w:val="18"/>
              </w:rPr>
              <w:t>0</w:t>
            </w:r>
          </w:p>
        </w:tc>
        <w:tc>
          <w:tcPr>
            <w:tcW w:w="693" w:type="pct"/>
            <w:tcBorders>
              <w:top w:val="nil"/>
              <w:left w:val="nil"/>
              <w:bottom w:val="nil"/>
              <w:right w:val="nil"/>
            </w:tcBorders>
            <w:shd w:val="clear" w:color="000000" w:fill="D9D9D9"/>
            <w:noWrap/>
            <w:vAlign w:val="bottom"/>
            <w:hideMark/>
          </w:tcPr>
          <w:p w14:paraId="5F43D122" w14:textId="3587F703"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c>
          <w:tcPr>
            <w:tcW w:w="695" w:type="pct"/>
            <w:tcBorders>
              <w:top w:val="nil"/>
              <w:left w:val="nil"/>
              <w:bottom w:val="nil"/>
              <w:right w:val="nil"/>
            </w:tcBorders>
            <w:shd w:val="clear" w:color="000000" w:fill="D9D9D9"/>
            <w:noWrap/>
            <w:vAlign w:val="bottom"/>
            <w:hideMark/>
          </w:tcPr>
          <w:p w14:paraId="47BAF691" w14:textId="1794A7BA" w:rsidR="00FD0F3F" w:rsidRPr="00C865B3" w:rsidRDefault="00FD0F3F" w:rsidP="00C865B3">
            <w:pPr>
              <w:spacing w:after="0" w:line="240" w:lineRule="auto"/>
              <w:jc w:val="center"/>
              <w:rPr>
                <w:rFonts w:ascii="Century Gothic" w:eastAsia="Times New Roman" w:hAnsi="Century Gothic" w:cs="Arial"/>
                <w:sz w:val="18"/>
                <w:szCs w:val="18"/>
              </w:rPr>
            </w:pPr>
            <w:r w:rsidRPr="00C865B3">
              <w:rPr>
                <w:rFonts w:ascii="Century Gothic" w:eastAsia="Times New Roman" w:hAnsi="Century Gothic" w:cs="Arial"/>
                <w:sz w:val="18"/>
                <w:szCs w:val="18"/>
              </w:rPr>
              <w:t>#DIV/0!</w:t>
            </w:r>
          </w:p>
        </w:tc>
      </w:tr>
      <w:tr w:rsidR="00FD0F3F" w:rsidRPr="00C865B3" w14:paraId="3303E800" w14:textId="77777777" w:rsidTr="001A7BE1">
        <w:trPr>
          <w:trHeight w:val="720"/>
        </w:trPr>
        <w:tc>
          <w:tcPr>
            <w:tcW w:w="693" w:type="pct"/>
            <w:tcBorders>
              <w:top w:val="nil"/>
              <w:left w:val="nil"/>
              <w:bottom w:val="nil"/>
              <w:right w:val="nil"/>
            </w:tcBorders>
            <w:shd w:val="clear" w:color="000000" w:fill="D9D9D9"/>
            <w:vAlign w:val="center"/>
          </w:tcPr>
          <w:p w14:paraId="7EB5053B" w14:textId="4F308037" w:rsidR="00FD0F3F" w:rsidRPr="00C865B3" w:rsidRDefault="00FD0F3F" w:rsidP="00C865B3">
            <w:pPr>
              <w:spacing w:after="0" w:line="240" w:lineRule="auto"/>
              <w:rPr>
                <w:rFonts w:ascii="Century Gothic" w:eastAsia="Times New Roman" w:hAnsi="Century Gothic" w:cs="Arial"/>
                <w:b/>
                <w:bCs/>
                <w:sz w:val="18"/>
                <w:szCs w:val="18"/>
              </w:rPr>
            </w:pPr>
          </w:p>
        </w:tc>
        <w:tc>
          <w:tcPr>
            <w:tcW w:w="732" w:type="pct"/>
            <w:tcBorders>
              <w:top w:val="nil"/>
              <w:left w:val="nil"/>
              <w:bottom w:val="nil"/>
              <w:right w:val="nil"/>
            </w:tcBorders>
            <w:shd w:val="clear" w:color="000000" w:fill="D9D9D9"/>
            <w:vAlign w:val="center"/>
          </w:tcPr>
          <w:p w14:paraId="01969ED3" w14:textId="7792A0D2" w:rsidR="00FD0F3F" w:rsidRPr="00C865B3" w:rsidRDefault="00FD0F3F" w:rsidP="00C865B3">
            <w:pPr>
              <w:spacing w:after="0" w:line="240" w:lineRule="auto"/>
              <w:rPr>
                <w:rFonts w:ascii="Century Gothic" w:eastAsia="Times New Roman" w:hAnsi="Century Gothic" w:cs="Arial"/>
                <w:b/>
                <w:bCs/>
                <w:sz w:val="18"/>
                <w:szCs w:val="18"/>
              </w:rPr>
            </w:pPr>
          </w:p>
        </w:tc>
        <w:tc>
          <w:tcPr>
            <w:tcW w:w="729" w:type="pct"/>
            <w:tcBorders>
              <w:top w:val="nil"/>
              <w:left w:val="single" w:sz="4" w:space="0" w:color="auto"/>
              <w:bottom w:val="single" w:sz="4" w:space="0" w:color="auto"/>
              <w:right w:val="single" w:sz="4" w:space="0" w:color="auto"/>
            </w:tcBorders>
            <w:shd w:val="clear" w:color="000000" w:fill="FFFF00"/>
            <w:noWrap/>
            <w:vAlign w:val="center"/>
          </w:tcPr>
          <w:p w14:paraId="0A57B7D5" w14:textId="74E7B188" w:rsidR="00FD0F3F" w:rsidRPr="00C865B3" w:rsidRDefault="00FD0F3F" w:rsidP="00C865B3">
            <w:pPr>
              <w:spacing w:after="0" w:line="240" w:lineRule="auto"/>
              <w:jc w:val="center"/>
              <w:rPr>
                <w:rFonts w:ascii="Century Gothic" w:eastAsia="Times New Roman" w:hAnsi="Century Gothic" w:cs="Calibri"/>
                <w:sz w:val="18"/>
                <w:szCs w:val="18"/>
              </w:rPr>
            </w:pPr>
          </w:p>
        </w:tc>
        <w:tc>
          <w:tcPr>
            <w:tcW w:w="729" w:type="pct"/>
            <w:tcBorders>
              <w:top w:val="nil"/>
              <w:left w:val="nil"/>
              <w:bottom w:val="single" w:sz="4" w:space="0" w:color="auto"/>
              <w:right w:val="single" w:sz="4" w:space="0" w:color="auto"/>
            </w:tcBorders>
            <w:shd w:val="clear" w:color="000000" w:fill="FFFF00"/>
            <w:noWrap/>
            <w:vAlign w:val="center"/>
          </w:tcPr>
          <w:p w14:paraId="62341C2D" w14:textId="66CD8156" w:rsidR="00FD0F3F" w:rsidRPr="00C865B3" w:rsidRDefault="00FD0F3F" w:rsidP="00C865B3">
            <w:pPr>
              <w:spacing w:after="0" w:line="240" w:lineRule="auto"/>
              <w:jc w:val="center"/>
              <w:rPr>
                <w:rFonts w:ascii="Century Gothic" w:eastAsia="Times New Roman" w:hAnsi="Century Gothic" w:cs="Calibri"/>
                <w:sz w:val="18"/>
                <w:szCs w:val="18"/>
              </w:rPr>
            </w:pPr>
          </w:p>
        </w:tc>
        <w:tc>
          <w:tcPr>
            <w:tcW w:w="729" w:type="pct"/>
            <w:tcBorders>
              <w:top w:val="nil"/>
              <w:left w:val="nil"/>
              <w:bottom w:val="single" w:sz="4" w:space="0" w:color="auto"/>
              <w:right w:val="single" w:sz="4" w:space="0" w:color="auto"/>
            </w:tcBorders>
            <w:shd w:val="clear" w:color="000000" w:fill="FFFF00"/>
            <w:noWrap/>
            <w:vAlign w:val="center"/>
          </w:tcPr>
          <w:p w14:paraId="0429DFBA" w14:textId="2ABB197C" w:rsidR="00FD0F3F" w:rsidRPr="00C865B3" w:rsidRDefault="00FD0F3F" w:rsidP="00C865B3">
            <w:pPr>
              <w:spacing w:after="0" w:line="240" w:lineRule="auto"/>
              <w:jc w:val="center"/>
              <w:rPr>
                <w:rFonts w:ascii="Century Gothic" w:eastAsia="Times New Roman" w:hAnsi="Century Gothic" w:cs="Calibri"/>
                <w:sz w:val="18"/>
                <w:szCs w:val="18"/>
              </w:rPr>
            </w:pPr>
          </w:p>
        </w:tc>
        <w:tc>
          <w:tcPr>
            <w:tcW w:w="693" w:type="pct"/>
            <w:tcBorders>
              <w:top w:val="nil"/>
              <w:left w:val="nil"/>
              <w:bottom w:val="nil"/>
              <w:right w:val="nil"/>
            </w:tcBorders>
            <w:shd w:val="clear" w:color="000000" w:fill="D9D9D9"/>
            <w:noWrap/>
            <w:vAlign w:val="bottom"/>
          </w:tcPr>
          <w:p w14:paraId="5578979E" w14:textId="2B02EFED" w:rsidR="00FD0F3F" w:rsidRPr="00C865B3" w:rsidRDefault="00FD0F3F" w:rsidP="00C865B3">
            <w:pPr>
              <w:spacing w:after="0" w:line="240" w:lineRule="auto"/>
              <w:jc w:val="center"/>
              <w:rPr>
                <w:rFonts w:ascii="Century Gothic" w:eastAsia="Times New Roman" w:hAnsi="Century Gothic" w:cs="Arial"/>
                <w:sz w:val="18"/>
                <w:szCs w:val="18"/>
              </w:rPr>
            </w:pPr>
          </w:p>
        </w:tc>
        <w:tc>
          <w:tcPr>
            <w:tcW w:w="695" w:type="pct"/>
            <w:tcBorders>
              <w:top w:val="nil"/>
              <w:left w:val="nil"/>
              <w:bottom w:val="nil"/>
              <w:right w:val="nil"/>
            </w:tcBorders>
            <w:shd w:val="clear" w:color="000000" w:fill="D9D9D9"/>
            <w:noWrap/>
            <w:vAlign w:val="bottom"/>
          </w:tcPr>
          <w:p w14:paraId="0E5D7952" w14:textId="3D7E229F" w:rsidR="00FD0F3F" w:rsidRPr="00C865B3" w:rsidRDefault="00FD0F3F" w:rsidP="00C865B3">
            <w:pPr>
              <w:spacing w:after="0" w:line="240" w:lineRule="auto"/>
              <w:jc w:val="center"/>
              <w:rPr>
                <w:rFonts w:ascii="Century Gothic" w:eastAsia="Times New Roman" w:hAnsi="Century Gothic" w:cs="Arial"/>
                <w:sz w:val="18"/>
                <w:szCs w:val="18"/>
              </w:rPr>
            </w:pPr>
          </w:p>
        </w:tc>
      </w:tr>
    </w:tbl>
    <w:p w14:paraId="477277E4" w14:textId="77777777" w:rsidR="00C865B3" w:rsidRPr="00D61E32" w:rsidRDefault="00C865B3" w:rsidP="00C865B3">
      <w:pPr>
        <w:pStyle w:val="ListParagraph"/>
        <w:ind w:left="0"/>
        <w:rPr>
          <w:rFonts w:ascii="Century Gothic" w:hAnsi="Century Gothic" w:cs="Times New Roman"/>
        </w:rPr>
      </w:pPr>
    </w:p>
    <w:sectPr w:rsidR="00C865B3" w:rsidRPr="00D61E32" w:rsidSect="0060285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407C" w14:textId="77777777" w:rsidR="00602852" w:rsidRDefault="00602852" w:rsidP="009831ED">
      <w:pPr>
        <w:spacing w:after="0" w:line="240" w:lineRule="auto"/>
      </w:pPr>
      <w:r>
        <w:separator/>
      </w:r>
    </w:p>
  </w:endnote>
  <w:endnote w:type="continuationSeparator" w:id="0">
    <w:p w14:paraId="357196F2" w14:textId="77777777" w:rsidR="00602852" w:rsidRDefault="00602852" w:rsidP="009831ED">
      <w:pPr>
        <w:spacing w:after="0" w:line="240" w:lineRule="auto"/>
      </w:pPr>
      <w:r>
        <w:continuationSeparator/>
      </w:r>
    </w:p>
  </w:endnote>
  <w:endnote w:type="continuationNotice" w:id="1">
    <w:p w14:paraId="0E06D2D9" w14:textId="77777777" w:rsidR="00D82ED7" w:rsidRDefault="00D82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Myriad Pro Ligh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053407"/>
      <w:docPartObj>
        <w:docPartGallery w:val="Page Numbers (Bottom of Page)"/>
        <w:docPartUnique/>
      </w:docPartObj>
    </w:sdtPr>
    <w:sdtEndPr>
      <w:rPr>
        <w:noProof/>
      </w:rPr>
    </w:sdtEndPr>
    <w:sdtContent>
      <w:p w14:paraId="20C99DC5" w14:textId="7AFE24E1" w:rsidR="008235D8" w:rsidRDefault="008235D8">
        <w:pPr>
          <w:pStyle w:val="Footer"/>
          <w:jc w:val="center"/>
        </w:pPr>
        <w:r>
          <w:fldChar w:fldCharType="begin"/>
        </w:r>
        <w:r>
          <w:instrText xml:space="preserve"> PAGE   \* MERGEFORMAT </w:instrText>
        </w:r>
        <w:r>
          <w:fldChar w:fldCharType="separate"/>
        </w:r>
        <w:r w:rsidR="007C747A">
          <w:rPr>
            <w:noProof/>
          </w:rPr>
          <w:t>2</w:t>
        </w:r>
        <w:r>
          <w:rPr>
            <w:noProof/>
          </w:rPr>
          <w:fldChar w:fldCharType="end"/>
        </w:r>
      </w:p>
    </w:sdtContent>
  </w:sdt>
  <w:p w14:paraId="71B65A64" w14:textId="77777777" w:rsidR="008235D8" w:rsidRDefault="0082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EE53" w14:textId="77777777" w:rsidR="00602852" w:rsidRDefault="00602852" w:rsidP="009831ED">
      <w:pPr>
        <w:spacing w:after="0" w:line="240" w:lineRule="auto"/>
      </w:pPr>
      <w:r>
        <w:separator/>
      </w:r>
    </w:p>
  </w:footnote>
  <w:footnote w:type="continuationSeparator" w:id="0">
    <w:p w14:paraId="0E1B7373" w14:textId="77777777" w:rsidR="00602852" w:rsidRDefault="00602852" w:rsidP="009831ED">
      <w:pPr>
        <w:spacing w:after="0" w:line="240" w:lineRule="auto"/>
      </w:pPr>
      <w:r>
        <w:continuationSeparator/>
      </w:r>
    </w:p>
  </w:footnote>
  <w:footnote w:type="continuationNotice" w:id="1">
    <w:p w14:paraId="28731BAB" w14:textId="77777777" w:rsidR="00D82ED7" w:rsidRDefault="00D82ED7">
      <w:pPr>
        <w:spacing w:after="0" w:line="240" w:lineRule="auto"/>
      </w:pPr>
    </w:p>
  </w:footnote>
  <w:footnote w:id="2">
    <w:p w14:paraId="749BDF79" w14:textId="77777777" w:rsidR="006F74BE" w:rsidRDefault="006F74BE" w:rsidP="006F74BE">
      <w:pPr>
        <w:pStyle w:val="FootnoteText"/>
        <w:rPr>
          <w:rFonts w:ascii="Times New Roman" w:eastAsia="Calibri"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3">
    <w:p w14:paraId="1AD91C8C" w14:textId="77777777" w:rsidR="006F74BE" w:rsidRDefault="006F74BE" w:rsidP="006F74BE">
      <w:pPr>
        <w:pStyle w:val="FootnoteText"/>
      </w:pPr>
      <w:r>
        <w:rPr>
          <w:rStyle w:val="FootnoteReference"/>
        </w:rPr>
        <w:footnoteRef/>
      </w:r>
      <w:r>
        <w:t xml:space="preserve"> This section is responsive to Requirement 2 in </w:t>
      </w:r>
      <w:r>
        <w:rPr>
          <w:i/>
        </w:rPr>
        <w:t>FAQ Part 45</w:t>
      </w:r>
      <w:r>
        <w:t xml:space="preserve"> at 4. </w:t>
      </w:r>
    </w:p>
  </w:footnote>
  <w:footnote w:id="4">
    <w:p w14:paraId="1628D671" w14:textId="77777777" w:rsidR="006F74BE" w:rsidRDefault="006F74BE" w:rsidP="006F74BE">
      <w:pPr>
        <w:pStyle w:val="FootnoteText"/>
      </w:pPr>
      <w:r>
        <w:rPr>
          <w:rStyle w:val="FootnoteReference"/>
        </w:rPr>
        <w:footnoteRef/>
      </w:r>
      <w:r>
        <w:t xml:space="preserve"> </w:t>
      </w:r>
      <w:r>
        <w:rPr>
          <w:i/>
        </w:rPr>
        <w:t>Id.</w:t>
      </w:r>
      <w:r>
        <w:t xml:space="preserve"> </w:t>
      </w:r>
    </w:p>
  </w:footnote>
  <w:footnote w:id="5">
    <w:p w14:paraId="37B76DA4" w14:textId="77777777" w:rsidR="006F74BE" w:rsidRDefault="006F74BE" w:rsidP="006F74BE">
      <w:pPr>
        <w:pStyle w:val="FootnoteText"/>
      </w:pPr>
      <w:r>
        <w:rPr>
          <w:rStyle w:val="FootnoteReference"/>
        </w:rPr>
        <w:footnoteRef/>
      </w:r>
      <w:r>
        <w:t xml:space="preserve"> This section is responsive to Requirement 3 in </w:t>
      </w:r>
      <w:r>
        <w:rPr>
          <w:i/>
        </w:rPr>
        <w:t>FAQ Part 45</w:t>
      </w:r>
      <w:r>
        <w:t xml:space="preserve"> at 4.</w:t>
      </w:r>
    </w:p>
  </w:footnote>
  <w:footnote w:id="6">
    <w:p w14:paraId="12F5F616" w14:textId="77777777" w:rsidR="006F74BE" w:rsidRDefault="006F74BE" w:rsidP="006F74BE">
      <w:pPr>
        <w:pStyle w:val="FootnoteText"/>
      </w:pPr>
      <w:r>
        <w:rPr>
          <w:rStyle w:val="FootnoteReference"/>
        </w:rPr>
        <w:footnoteRef/>
      </w:r>
      <w:r>
        <w:t xml:space="preserve"> This section is responsive to Requirements 3 and 4 in </w:t>
      </w:r>
      <w:r>
        <w:rPr>
          <w:i/>
        </w:rPr>
        <w:t>FAQ Part 45</w:t>
      </w:r>
      <w:r>
        <w:t xml:space="preserve"> at 4. </w:t>
      </w:r>
    </w:p>
    <w:p w14:paraId="00EE64BD" w14:textId="77777777" w:rsidR="006F74BE" w:rsidRDefault="006F74BE" w:rsidP="006F74BE">
      <w:pPr>
        <w:pStyle w:val="FootnoteText"/>
      </w:pPr>
    </w:p>
  </w:footnote>
  <w:footnote w:id="7">
    <w:p w14:paraId="549B69B8" w14:textId="77777777" w:rsidR="006F74BE" w:rsidRDefault="006F74BE" w:rsidP="006F74BE">
      <w:pPr>
        <w:pStyle w:val="FootnoteText"/>
      </w:pPr>
      <w:r>
        <w:rPr>
          <w:rStyle w:val="FootnoteReference"/>
        </w:rPr>
        <w:footnoteRef/>
      </w:r>
      <w:r>
        <w:t xml:space="preserve"> This section is responsive to Requirements 5-7 in </w:t>
      </w:r>
      <w:r>
        <w:rPr>
          <w:i/>
        </w:rPr>
        <w:t>FAQ Part 45</w:t>
      </w:r>
      <w:r>
        <w:t xml:space="preserve"> at 4.</w:t>
      </w:r>
    </w:p>
  </w:footnote>
  <w:footnote w:id="8">
    <w:p w14:paraId="6933A77C" w14:textId="77777777" w:rsidR="006F74BE" w:rsidRDefault="006F74BE" w:rsidP="006F74BE">
      <w:pPr>
        <w:pStyle w:val="FootnoteText"/>
      </w:pPr>
      <w:r>
        <w:rPr>
          <w:rStyle w:val="FootnoteReference"/>
        </w:rPr>
        <w:footnoteRef/>
      </w:r>
      <w:r>
        <w:t xml:space="preserve"> This section is responsive to Requirement 8 in </w:t>
      </w:r>
      <w:r>
        <w:rPr>
          <w:i/>
        </w:rPr>
        <w:t>FAQ Part 45</w:t>
      </w:r>
      <w:r>
        <w:t xml:space="preserve"> at 4.</w:t>
      </w:r>
    </w:p>
  </w:footnote>
  <w:footnote w:id="9">
    <w:p w14:paraId="0D8B705A" w14:textId="77777777" w:rsidR="00AD53FD" w:rsidRDefault="00AD53FD" w:rsidP="00AD53FD">
      <w:pPr>
        <w:pStyle w:val="FootnoteText"/>
        <w:rPr>
          <w:rFonts w:ascii="Times New Roman"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10">
    <w:p w14:paraId="3961E125" w14:textId="77777777" w:rsidR="00AD53FD" w:rsidRDefault="00AD53FD" w:rsidP="00AD53FD">
      <w:pPr>
        <w:pStyle w:val="FootnoteText"/>
      </w:pPr>
      <w:r>
        <w:rPr>
          <w:rStyle w:val="FootnoteReference"/>
        </w:rPr>
        <w:footnoteRef/>
      </w:r>
      <w:r>
        <w:t xml:space="preserve"> This section is responsive to Requirement 2 in </w:t>
      </w:r>
      <w:r>
        <w:rPr>
          <w:i/>
        </w:rPr>
        <w:t>FAQ Part 45</w:t>
      </w:r>
      <w:r>
        <w:t xml:space="preserve"> at 4. </w:t>
      </w:r>
    </w:p>
  </w:footnote>
  <w:footnote w:id="11">
    <w:p w14:paraId="7B0727F9" w14:textId="77777777" w:rsidR="00AD53FD" w:rsidRDefault="00AD53FD" w:rsidP="00AD53FD">
      <w:pPr>
        <w:pStyle w:val="FootnoteText"/>
      </w:pPr>
      <w:r>
        <w:rPr>
          <w:rStyle w:val="FootnoteReference"/>
        </w:rPr>
        <w:footnoteRef/>
      </w:r>
      <w:r>
        <w:t xml:space="preserve"> </w:t>
      </w:r>
      <w:r>
        <w:rPr>
          <w:i/>
        </w:rPr>
        <w:t>Id.</w:t>
      </w:r>
      <w:r>
        <w:t xml:space="preserve"> </w:t>
      </w:r>
    </w:p>
  </w:footnote>
  <w:footnote w:id="12">
    <w:p w14:paraId="5C956BFF" w14:textId="77777777" w:rsidR="00AD53FD" w:rsidRDefault="00AD53FD" w:rsidP="00AD53FD">
      <w:pPr>
        <w:pStyle w:val="FootnoteText"/>
      </w:pPr>
      <w:r>
        <w:rPr>
          <w:rStyle w:val="FootnoteReference"/>
        </w:rPr>
        <w:footnoteRef/>
      </w:r>
      <w:r>
        <w:t xml:space="preserve"> This section is responsive to Requirement 3 in </w:t>
      </w:r>
      <w:r>
        <w:rPr>
          <w:i/>
        </w:rPr>
        <w:t>FAQ Part 45</w:t>
      </w:r>
      <w:r>
        <w:t xml:space="preserve"> at 4.</w:t>
      </w:r>
    </w:p>
  </w:footnote>
  <w:footnote w:id="13">
    <w:p w14:paraId="6B5D0F3E" w14:textId="77777777" w:rsidR="00AD53FD" w:rsidRDefault="00AD53FD" w:rsidP="00AD53FD">
      <w:pPr>
        <w:pStyle w:val="FootnoteText"/>
      </w:pPr>
      <w:r>
        <w:rPr>
          <w:rStyle w:val="FootnoteReference"/>
        </w:rPr>
        <w:footnoteRef/>
      </w:r>
      <w:r>
        <w:t xml:space="preserve"> This section is responsive to Requirements 3 and 4 in </w:t>
      </w:r>
      <w:r>
        <w:rPr>
          <w:i/>
        </w:rPr>
        <w:t>FAQ Part 45</w:t>
      </w:r>
      <w:r>
        <w:t xml:space="preserve"> at 4. </w:t>
      </w:r>
    </w:p>
    <w:p w14:paraId="6C1EB628" w14:textId="77777777" w:rsidR="00AD53FD" w:rsidRDefault="00AD53FD" w:rsidP="00AD53FD">
      <w:pPr>
        <w:pStyle w:val="FootnoteText"/>
      </w:pPr>
    </w:p>
  </w:footnote>
  <w:footnote w:id="14">
    <w:p w14:paraId="713F0774" w14:textId="77777777" w:rsidR="00AD53FD" w:rsidRDefault="00AD53FD" w:rsidP="00AD53FD">
      <w:pPr>
        <w:pStyle w:val="FootnoteText"/>
      </w:pPr>
      <w:r>
        <w:rPr>
          <w:rStyle w:val="FootnoteReference"/>
        </w:rPr>
        <w:footnoteRef/>
      </w:r>
      <w:r>
        <w:t xml:space="preserve"> This section is responsive to Requirements 5-7 in </w:t>
      </w:r>
      <w:r>
        <w:rPr>
          <w:i/>
        </w:rPr>
        <w:t>FAQ Part 45</w:t>
      </w:r>
      <w:r>
        <w:t xml:space="preserve"> at 4.</w:t>
      </w:r>
    </w:p>
  </w:footnote>
  <w:footnote w:id="15">
    <w:p w14:paraId="1A0DCEC6" w14:textId="77777777" w:rsidR="00AD53FD" w:rsidRDefault="00AD53FD" w:rsidP="00AD53FD">
      <w:pPr>
        <w:pStyle w:val="FootnoteText"/>
      </w:pPr>
      <w:r>
        <w:rPr>
          <w:rStyle w:val="FootnoteReference"/>
        </w:rPr>
        <w:footnoteRef/>
      </w:r>
      <w:r>
        <w:t xml:space="preserve"> This section is responsive to Requirement 8 in </w:t>
      </w:r>
      <w:r>
        <w:rPr>
          <w:i/>
        </w:rPr>
        <w:t>FAQ Part 45</w:t>
      </w:r>
      <w:r>
        <w:t xml:space="preserve"> at 4.</w:t>
      </w:r>
    </w:p>
  </w:footnote>
  <w:footnote w:id="16">
    <w:p w14:paraId="6A5C80AF" w14:textId="77777777" w:rsidR="00806566" w:rsidRDefault="00806566" w:rsidP="00806566">
      <w:pPr>
        <w:pStyle w:val="FootnoteText"/>
        <w:rPr>
          <w:rFonts w:ascii="Times New Roman" w:eastAsia="Times New Roman"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17">
    <w:p w14:paraId="79C1B979" w14:textId="77777777" w:rsidR="00806566" w:rsidRDefault="00806566" w:rsidP="00806566">
      <w:pPr>
        <w:pStyle w:val="FootnoteText"/>
      </w:pPr>
      <w:r>
        <w:rPr>
          <w:rStyle w:val="FootnoteReference"/>
        </w:rPr>
        <w:footnoteRef/>
      </w:r>
      <w:r>
        <w:t xml:space="preserve"> This section is responsive to Requirement 2 in </w:t>
      </w:r>
      <w:r>
        <w:rPr>
          <w:i/>
        </w:rPr>
        <w:t>FAQ Part 45</w:t>
      </w:r>
      <w:r>
        <w:t xml:space="preserve"> at 4. </w:t>
      </w:r>
    </w:p>
  </w:footnote>
  <w:footnote w:id="18">
    <w:p w14:paraId="17F5597C" w14:textId="77777777" w:rsidR="00806566" w:rsidRDefault="00806566" w:rsidP="00806566">
      <w:pPr>
        <w:pStyle w:val="FootnoteText"/>
      </w:pPr>
      <w:r>
        <w:rPr>
          <w:rStyle w:val="FootnoteReference"/>
        </w:rPr>
        <w:footnoteRef/>
      </w:r>
      <w:r>
        <w:t xml:space="preserve"> </w:t>
      </w:r>
      <w:r>
        <w:rPr>
          <w:i/>
        </w:rPr>
        <w:t>Id.</w:t>
      </w:r>
      <w:r>
        <w:t xml:space="preserve"> </w:t>
      </w:r>
    </w:p>
  </w:footnote>
  <w:footnote w:id="19">
    <w:p w14:paraId="3A76ADB5" w14:textId="77777777" w:rsidR="00806566" w:rsidRDefault="00806566" w:rsidP="00806566">
      <w:pPr>
        <w:pStyle w:val="FootnoteText"/>
      </w:pPr>
      <w:r>
        <w:rPr>
          <w:rStyle w:val="FootnoteReference"/>
        </w:rPr>
        <w:footnoteRef/>
      </w:r>
      <w:r>
        <w:t xml:space="preserve"> This section is responsive to Requirement 3 in </w:t>
      </w:r>
      <w:r>
        <w:rPr>
          <w:i/>
        </w:rPr>
        <w:t>FAQ Part 45</w:t>
      </w:r>
      <w:r>
        <w:t xml:space="preserve"> at 4.</w:t>
      </w:r>
    </w:p>
  </w:footnote>
  <w:footnote w:id="20">
    <w:p w14:paraId="75F2D36A" w14:textId="77777777" w:rsidR="00806566" w:rsidRDefault="00806566" w:rsidP="00806566">
      <w:pPr>
        <w:pStyle w:val="FootnoteText"/>
      </w:pPr>
      <w:r>
        <w:rPr>
          <w:rStyle w:val="FootnoteReference"/>
        </w:rPr>
        <w:footnoteRef/>
      </w:r>
      <w:r>
        <w:t xml:space="preserve"> This section is responsive to Requirements 3 and 4 in </w:t>
      </w:r>
      <w:r>
        <w:rPr>
          <w:i/>
        </w:rPr>
        <w:t>FAQ Part 45</w:t>
      </w:r>
      <w:r>
        <w:t xml:space="preserve"> at 4. </w:t>
      </w:r>
    </w:p>
    <w:p w14:paraId="7FA58177" w14:textId="77777777" w:rsidR="00806566" w:rsidRDefault="00806566" w:rsidP="00806566">
      <w:pPr>
        <w:pStyle w:val="FootnoteText"/>
      </w:pPr>
    </w:p>
  </w:footnote>
  <w:footnote w:id="21">
    <w:p w14:paraId="0B64AB18" w14:textId="77777777" w:rsidR="00806566" w:rsidRDefault="00806566" w:rsidP="00806566">
      <w:pPr>
        <w:pStyle w:val="FootnoteText"/>
      </w:pPr>
      <w:r>
        <w:rPr>
          <w:rStyle w:val="FootnoteReference"/>
        </w:rPr>
        <w:footnoteRef/>
      </w:r>
      <w:r>
        <w:t xml:space="preserve"> This section is responsive to Requirements 5-7 in </w:t>
      </w:r>
      <w:r>
        <w:rPr>
          <w:i/>
        </w:rPr>
        <w:t>FAQ Part 45</w:t>
      </w:r>
      <w:r>
        <w:t xml:space="preserve"> at 4.</w:t>
      </w:r>
    </w:p>
  </w:footnote>
  <w:footnote w:id="22">
    <w:p w14:paraId="30046ABF" w14:textId="77777777" w:rsidR="00806566" w:rsidRDefault="00806566" w:rsidP="00806566">
      <w:pPr>
        <w:pStyle w:val="FootnoteText"/>
      </w:pPr>
      <w:r>
        <w:rPr>
          <w:rStyle w:val="FootnoteReference"/>
        </w:rPr>
        <w:footnoteRef/>
      </w:r>
      <w:r>
        <w:t xml:space="preserve"> This section is responsive to Requirement 8 in </w:t>
      </w:r>
      <w:r>
        <w:rPr>
          <w:i/>
        </w:rPr>
        <w:t>FAQ Part 45</w:t>
      </w:r>
      <w:r>
        <w:t xml:space="preserve"> at 4.</w:t>
      </w:r>
    </w:p>
  </w:footnote>
  <w:footnote w:id="23">
    <w:p w14:paraId="39A922F5" w14:textId="77777777" w:rsidR="00540F00" w:rsidRDefault="00540F00" w:rsidP="00540F00">
      <w:pPr>
        <w:pStyle w:val="FootnoteText"/>
        <w:rPr>
          <w:rFonts w:ascii="Times New Roman"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24">
    <w:p w14:paraId="28AEED18" w14:textId="77777777" w:rsidR="00540F00" w:rsidRDefault="00540F00" w:rsidP="00540F00">
      <w:pPr>
        <w:pStyle w:val="FootnoteText"/>
      </w:pPr>
      <w:r>
        <w:rPr>
          <w:rStyle w:val="FootnoteReference"/>
        </w:rPr>
        <w:footnoteRef/>
      </w:r>
      <w:r>
        <w:t xml:space="preserve"> This section is responsive to Requirement 2 in </w:t>
      </w:r>
      <w:r>
        <w:rPr>
          <w:i/>
        </w:rPr>
        <w:t>FAQ Part 45</w:t>
      </w:r>
      <w:r>
        <w:t xml:space="preserve"> at 4. </w:t>
      </w:r>
    </w:p>
  </w:footnote>
  <w:footnote w:id="25">
    <w:p w14:paraId="59CA6E42" w14:textId="77777777" w:rsidR="00540F00" w:rsidRDefault="00540F00" w:rsidP="00540F00">
      <w:pPr>
        <w:pStyle w:val="FootnoteText"/>
      </w:pPr>
      <w:r>
        <w:rPr>
          <w:rStyle w:val="FootnoteReference"/>
        </w:rPr>
        <w:footnoteRef/>
      </w:r>
      <w:r>
        <w:t xml:space="preserve"> </w:t>
      </w:r>
      <w:r>
        <w:rPr>
          <w:i/>
        </w:rPr>
        <w:t>Id.</w:t>
      </w:r>
      <w:r>
        <w:t xml:space="preserve"> </w:t>
      </w:r>
    </w:p>
  </w:footnote>
  <w:footnote w:id="26">
    <w:p w14:paraId="45F4D130" w14:textId="77777777" w:rsidR="00540F00" w:rsidRDefault="00540F00" w:rsidP="00540F00">
      <w:pPr>
        <w:pStyle w:val="FootnoteText"/>
      </w:pPr>
      <w:r>
        <w:rPr>
          <w:rStyle w:val="FootnoteReference"/>
        </w:rPr>
        <w:footnoteRef/>
      </w:r>
      <w:r>
        <w:t xml:space="preserve"> This section is responsive to Requirement 3 in </w:t>
      </w:r>
      <w:r>
        <w:rPr>
          <w:i/>
        </w:rPr>
        <w:t>FAQ Part 45</w:t>
      </w:r>
      <w:r>
        <w:t xml:space="preserve"> at 4.</w:t>
      </w:r>
    </w:p>
  </w:footnote>
  <w:footnote w:id="27">
    <w:p w14:paraId="5629FB2C" w14:textId="77777777" w:rsidR="001625EC" w:rsidRDefault="001625EC" w:rsidP="001625EC">
      <w:pPr>
        <w:pStyle w:val="FootnoteText"/>
        <w:rPr>
          <w:rFonts w:ascii="Times New Roman"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28">
    <w:p w14:paraId="23959B6E" w14:textId="77777777" w:rsidR="001625EC" w:rsidRDefault="001625EC" w:rsidP="001625EC">
      <w:pPr>
        <w:pStyle w:val="FootnoteText"/>
      </w:pPr>
      <w:r>
        <w:rPr>
          <w:rStyle w:val="FootnoteReference"/>
        </w:rPr>
        <w:footnoteRef/>
      </w:r>
      <w:r>
        <w:t xml:space="preserve"> This section is responsive to Requirement 2 in </w:t>
      </w:r>
      <w:r>
        <w:rPr>
          <w:i/>
        </w:rPr>
        <w:t>FAQ Part 45</w:t>
      </w:r>
      <w:r>
        <w:t xml:space="preserve"> at 4. </w:t>
      </w:r>
    </w:p>
  </w:footnote>
  <w:footnote w:id="29">
    <w:p w14:paraId="3D7899A3" w14:textId="77777777" w:rsidR="001625EC" w:rsidRDefault="001625EC" w:rsidP="001625EC">
      <w:pPr>
        <w:pStyle w:val="FootnoteText"/>
      </w:pPr>
      <w:r>
        <w:rPr>
          <w:rStyle w:val="FootnoteReference"/>
        </w:rPr>
        <w:footnoteRef/>
      </w:r>
      <w:r>
        <w:t xml:space="preserve"> </w:t>
      </w:r>
      <w:r>
        <w:rPr>
          <w:i/>
        </w:rPr>
        <w:t>Id.</w:t>
      </w:r>
      <w:r>
        <w:t xml:space="preserve"> </w:t>
      </w:r>
    </w:p>
  </w:footnote>
  <w:footnote w:id="30">
    <w:p w14:paraId="56AAD16A" w14:textId="77777777" w:rsidR="001625EC" w:rsidRDefault="001625EC" w:rsidP="001625EC">
      <w:pPr>
        <w:pStyle w:val="FootnoteText"/>
      </w:pPr>
      <w:r>
        <w:rPr>
          <w:rStyle w:val="FootnoteReference"/>
        </w:rPr>
        <w:footnoteRef/>
      </w:r>
      <w:r>
        <w:t xml:space="preserve"> This section is responsive to Requirement 3 in </w:t>
      </w:r>
      <w:r>
        <w:rPr>
          <w:i/>
        </w:rPr>
        <w:t>FAQ Part 45</w:t>
      </w:r>
      <w:r>
        <w:t xml:space="preserve"> at 4.</w:t>
      </w:r>
    </w:p>
  </w:footnote>
  <w:footnote w:id="31">
    <w:p w14:paraId="7230A91F" w14:textId="77777777" w:rsidR="001625EC" w:rsidRDefault="001625EC" w:rsidP="001625EC">
      <w:pPr>
        <w:pStyle w:val="FootnoteText"/>
      </w:pPr>
      <w:r>
        <w:rPr>
          <w:rStyle w:val="FootnoteReference"/>
        </w:rPr>
        <w:footnoteRef/>
      </w:r>
      <w:r>
        <w:t xml:space="preserve"> This section is responsive to Requirements 3 and 4 in </w:t>
      </w:r>
      <w:r>
        <w:rPr>
          <w:i/>
        </w:rPr>
        <w:t>FAQ Part 45</w:t>
      </w:r>
      <w:r>
        <w:t xml:space="preserve"> at 4. </w:t>
      </w:r>
    </w:p>
    <w:p w14:paraId="4FD4ED64" w14:textId="77777777" w:rsidR="001625EC" w:rsidRDefault="001625EC" w:rsidP="001625EC">
      <w:pPr>
        <w:pStyle w:val="FootnoteText"/>
      </w:pPr>
    </w:p>
  </w:footnote>
  <w:footnote w:id="32">
    <w:p w14:paraId="36A3FB28" w14:textId="77777777" w:rsidR="001625EC" w:rsidRDefault="001625EC" w:rsidP="001625EC">
      <w:pPr>
        <w:pStyle w:val="FootnoteText"/>
      </w:pPr>
      <w:r>
        <w:rPr>
          <w:rStyle w:val="FootnoteReference"/>
        </w:rPr>
        <w:footnoteRef/>
      </w:r>
      <w:r>
        <w:t xml:space="preserve"> This section is responsive to Requirements 5-7 in </w:t>
      </w:r>
      <w:r>
        <w:rPr>
          <w:i/>
        </w:rPr>
        <w:t>FAQ Part 45</w:t>
      </w:r>
      <w:r>
        <w:t xml:space="preserve"> at 4.</w:t>
      </w:r>
    </w:p>
  </w:footnote>
  <w:footnote w:id="33">
    <w:p w14:paraId="4BE7019A" w14:textId="77777777" w:rsidR="001625EC" w:rsidRDefault="001625EC" w:rsidP="001625EC">
      <w:pPr>
        <w:pStyle w:val="FootnoteText"/>
      </w:pPr>
      <w:r>
        <w:rPr>
          <w:rStyle w:val="FootnoteReference"/>
        </w:rPr>
        <w:footnoteRef/>
      </w:r>
      <w:r>
        <w:t xml:space="preserve"> This section is responsive to Requirement 8 in </w:t>
      </w:r>
      <w:r>
        <w:rPr>
          <w:i/>
        </w:rPr>
        <w:t>FAQ Part 45</w:t>
      </w:r>
      <w:r>
        <w:t xml:space="preserve"> at 4.</w:t>
      </w:r>
    </w:p>
  </w:footnote>
  <w:footnote w:id="34">
    <w:p w14:paraId="38AB5C28" w14:textId="77777777" w:rsidR="00EB78C2" w:rsidRDefault="00EB78C2" w:rsidP="00EB78C2">
      <w:pPr>
        <w:pStyle w:val="FootnoteText"/>
        <w:rPr>
          <w:rFonts w:ascii="Times New Roman"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35">
    <w:p w14:paraId="20FB3743" w14:textId="77777777" w:rsidR="00EB78C2" w:rsidRDefault="00EB78C2" w:rsidP="00EB78C2">
      <w:pPr>
        <w:pStyle w:val="FootnoteText"/>
      </w:pPr>
      <w:r>
        <w:rPr>
          <w:rStyle w:val="FootnoteReference"/>
        </w:rPr>
        <w:footnoteRef/>
      </w:r>
      <w:r>
        <w:t xml:space="preserve"> This section is responsive to Requirement 2 in </w:t>
      </w:r>
      <w:r>
        <w:rPr>
          <w:i/>
        </w:rPr>
        <w:t>FAQ Part 45</w:t>
      </w:r>
      <w:r>
        <w:t xml:space="preserve"> at 4. </w:t>
      </w:r>
    </w:p>
  </w:footnote>
  <w:footnote w:id="36">
    <w:p w14:paraId="6083B8D0" w14:textId="77777777" w:rsidR="00EB78C2" w:rsidRDefault="00EB78C2" w:rsidP="00EB78C2">
      <w:pPr>
        <w:pStyle w:val="FootnoteText"/>
      </w:pPr>
      <w:r>
        <w:rPr>
          <w:rStyle w:val="FootnoteReference"/>
        </w:rPr>
        <w:footnoteRef/>
      </w:r>
      <w:r>
        <w:t xml:space="preserve"> </w:t>
      </w:r>
      <w:r>
        <w:rPr>
          <w:i/>
        </w:rPr>
        <w:t>Id.</w:t>
      </w:r>
      <w:r>
        <w:t xml:space="preserve"> </w:t>
      </w:r>
    </w:p>
  </w:footnote>
  <w:footnote w:id="37">
    <w:p w14:paraId="3855FB99" w14:textId="77777777" w:rsidR="00EB78C2" w:rsidRDefault="00EB78C2" w:rsidP="00EB78C2">
      <w:pPr>
        <w:pStyle w:val="FootnoteText"/>
      </w:pPr>
      <w:r>
        <w:rPr>
          <w:rStyle w:val="FootnoteReference"/>
        </w:rPr>
        <w:footnoteRef/>
      </w:r>
      <w:r>
        <w:t xml:space="preserve"> This section is responsive to Requirement 3 in </w:t>
      </w:r>
      <w:r>
        <w:rPr>
          <w:i/>
        </w:rPr>
        <w:t>FAQ Part 45</w:t>
      </w:r>
      <w:r>
        <w:t xml:space="preserve"> at 4.</w:t>
      </w:r>
    </w:p>
  </w:footnote>
  <w:footnote w:id="38">
    <w:p w14:paraId="55A1F5F8" w14:textId="77777777" w:rsidR="00EB78C2" w:rsidRDefault="00EB78C2" w:rsidP="00EB78C2">
      <w:pPr>
        <w:pStyle w:val="FootnoteText"/>
      </w:pPr>
      <w:r>
        <w:rPr>
          <w:rStyle w:val="FootnoteReference"/>
        </w:rPr>
        <w:footnoteRef/>
      </w:r>
      <w:r>
        <w:t xml:space="preserve"> This section is responsive to Requirements 3 and 4 in </w:t>
      </w:r>
      <w:r>
        <w:rPr>
          <w:i/>
        </w:rPr>
        <w:t>FAQ Part 45</w:t>
      </w:r>
      <w:r>
        <w:t xml:space="preserve"> at 4. </w:t>
      </w:r>
    </w:p>
    <w:p w14:paraId="41661FAF" w14:textId="77777777" w:rsidR="00EB78C2" w:rsidRDefault="00EB78C2" w:rsidP="00EB78C2">
      <w:pPr>
        <w:pStyle w:val="FootnoteText"/>
      </w:pPr>
    </w:p>
  </w:footnote>
  <w:footnote w:id="39">
    <w:p w14:paraId="05DA4855" w14:textId="77777777" w:rsidR="00EB78C2" w:rsidRDefault="00EB78C2" w:rsidP="00EB78C2">
      <w:pPr>
        <w:pStyle w:val="FootnoteText"/>
      </w:pPr>
      <w:r>
        <w:rPr>
          <w:rStyle w:val="FootnoteReference"/>
        </w:rPr>
        <w:footnoteRef/>
      </w:r>
      <w:r>
        <w:t xml:space="preserve"> This section is responsive to Requirements 5-7 in </w:t>
      </w:r>
      <w:r>
        <w:rPr>
          <w:i/>
        </w:rPr>
        <w:t>FAQ Part 45</w:t>
      </w:r>
      <w:r>
        <w:t xml:space="preserve"> at 4.</w:t>
      </w:r>
    </w:p>
  </w:footnote>
  <w:footnote w:id="40">
    <w:p w14:paraId="22158A7F" w14:textId="77777777" w:rsidR="00EB78C2" w:rsidRDefault="00EB78C2" w:rsidP="00EB78C2">
      <w:pPr>
        <w:pStyle w:val="FootnoteText"/>
      </w:pPr>
      <w:r>
        <w:rPr>
          <w:rStyle w:val="FootnoteReference"/>
        </w:rPr>
        <w:footnoteRef/>
      </w:r>
      <w:r>
        <w:t xml:space="preserve"> This section is responsive to Requirement 8 in </w:t>
      </w:r>
      <w:r>
        <w:rPr>
          <w:i/>
        </w:rPr>
        <w:t>FAQ Part 45</w:t>
      </w:r>
      <w:r>
        <w:t xml:space="preserve"> at 4.</w:t>
      </w:r>
    </w:p>
  </w:footnote>
  <w:footnote w:id="41">
    <w:p w14:paraId="2C52FE40" w14:textId="77777777" w:rsidR="0053103B" w:rsidRDefault="0053103B" w:rsidP="0053103B">
      <w:pPr>
        <w:pStyle w:val="FootnoteText"/>
        <w:rPr>
          <w:rFonts w:ascii="Times New Roman"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42">
    <w:p w14:paraId="06F09E37" w14:textId="77777777" w:rsidR="0053103B" w:rsidRDefault="0053103B" w:rsidP="0053103B">
      <w:pPr>
        <w:pStyle w:val="FootnoteText"/>
      </w:pPr>
      <w:r>
        <w:rPr>
          <w:rStyle w:val="FootnoteReference"/>
        </w:rPr>
        <w:footnoteRef/>
      </w:r>
      <w:r>
        <w:t xml:space="preserve"> This section is responsive to Requirement 2 in </w:t>
      </w:r>
      <w:r>
        <w:rPr>
          <w:i/>
        </w:rPr>
        <w:t>FAQ Part 45</w:t>
      </w:r>
      <w:r>
        <w:t xml:space="preserve"> at 4. </w:t>
      </w:r>
    </w:p>
  </w:footnote>
  <w:footnote w:id="43">
    <w:p w14:paraId="57F269F6" w14:textId="77777777" w:rsidR="0053103B" w:rsidRDefault="0053103B" w:rsidP="0053103B">
      <w:pPr>
        <w:pStyle w:val="FootnoteText"/>
      </w:pPr>
      <w:r>
        <w:rPr>
          <w:rStyle w:val="FootnoteReference"/>
        </w:rPr>
        <w:footnoteRef/>
      </w:r>
      <w:r>
        <w:t xml:space="preserve"> </w:t>
      </w:r>
      <w:r>
        <w:rPr>
          <w:i/>
        </w:rPr>
        <w:t>Id.</w:t>
      </w:r>
      <w:r>
        <w:t xml:space="preserve"> </w:t>
      </w:r>
    </w:p>
  </w:footnote>
  <w:footnote w:id="44">
    <w:p w14:paraId="09D7F53C" w14:textId="77777777" w:rsidR="0053103B" w:rsidRDefault="0053103B" w:rsidP="0053103B">
      <w:pPr>
        <w:pStyle w:val="FootnoteText"/>
      </w:pPr>
      <w:r>
        <w:rPr>
          <w:rStyle w:val="FootnoteReference"/>
        </w:rPr>
        <w:footnoteRef/>
      </w:r>
      <w:r>
        <w:t xml:space="preserve"> This section is responsive to Requirement 3 in </w:t>
      </w:r>
      <w:r>
        <w:rPr>
          <w:i/>
        </w:rPr>
        <w:t>FAQ Part 45</w:t>
      </w:r>
      <w:r>
        <w:t xml:space="preserve"> at 4.</w:t>
      </w:r>
    </w:p>
  </w:footnote>
  <w:footnote w:id="45">
    <w:p w14:paraId="3CE7C3BB" w14:textId="77777777" w:rsidR="0053103B" w:rsidRDefault="0053103B" w:rsidP="0053103B">
      <w:pPr>
        <w:pStyle w:val="FootnoteText"/>
      </w:pPr>
      <w:r>
        <w:rPr>
          <w:rStyle w:val="FootnoteReference"/>
        </w:rPr>
        <w:footnoteRef/>
      </w:r>
      <w:r>
        <w:t xml:space="preserve"> This section is responsive to Requirements 3 and 4 in </w:t>
      </w:r>
      <w:r>
        <w:rPr>
          <w:i/>
        </w:rPr>
        <w:t>FAQ Part 45</w:t>
      </w:r>
      <w:r>
        <w:t xml:space="preserve"> at 4. </w:t>
      </w:r>
    </w:p>
    <w:p w14:paraId="224CBAF9" w14:textId="77777777" w:rsidR="0053103B" w:rsidRDefault="0053103B" w:rsidP="0053103B">
      <w:pPr>
        <w:pStyle w:val="FootnoteText"/>
      </w:pPr>
    </w:p>
  </w:footnote>
  <w:footnote w:id="46">
    <w:p w14:paraId="74AD945B" w14:textId="77777777" w:rsidR="0053103B" w:rsidRDefault="0053103B" w:rsidP="0053103B">
      <w:pPr>
        <w:pStyle w:val="FootnoteText"/>
      </w:pPr>
      <w:r>
        <w:rPr>
          <w:rStyle w:val="FootnoteReference"/>
        </w:rPr>
        <w:footnoteRef/>
      </w:r>
      <w:r>
        <w:t xml:space="preserve"> This section is responsive to Requirements 5-7 in </w:t>
      </w:r>
      <w:r>
        <w:rPr>
          <w:i/>
        </w:rPr>
        <w:t>FAQ Part 45</w:t>
      </w:r>
      <w:r>
        <w:t xml:space="preserve"> at 4.</w:t>
      </w:r>
    </w:p>
  </w:footnote>
  <w:footnote w:id="47">
    <w:p w14:paraId="42216636" w14:textId="77777777" w:rsidR="0053103B" w:rsidRDefault="0053103B" w:rsidP="0053103B">
      <w:pPr>
        <w:pStyle w:val="FootnoteText"/>
      </w:pPr>
      <w:r>
        <w:rPr>
          <w:rStyle w:val="FootnoteReference"/>
        </w:rPr>
        <w:footnoteRef/>
      </w:r>
      <w:r>
        <w:t xml:space="preserve"> This section is responsive to Requirement 8 in </w:t>
      </w:r>
      <w:r>
        <w:rPr>
          <w:i/>
        </w:rPr>
        <w:t>FAQ Part 45</w:t>
      </w:r>
      <w:r>
        <w:t xml:space="preserve"> at 4.</w:t>
      </w:r>
    </w:p>
  </w:footnote>
  <w:footnote w:id="48">
    <w:p w14:paraId="0E846899" w14:textId="77777777" w:rsidR="0094211C" w:rsidRDefault="0094211C" w:rsidP="0094211C">
      <w:pPr>
        <w:pStyle w:val="FootnoteText"/>
        <w:rPr>
          <w:rFonts w:ascii="Times New Roman"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49">
    <w:p w14:paraId="08AD74C0" w14:textId="77777777" w:rsidR="0094211C" w:rsidRDefault="0094211C" w:rsidP="0094211C">
      <w:pPr>
        <w:pStyle w:val="FootnoteText"/>
      </w:pPr>
      <w:r>
        <w:rPr>
          <w:rStyle w:val="FootnoteReference"/>
        </w:rPr>
        <w:footnoteRef/>
      </w:r>
      <w:r>
        <w:t xml:space="preserve"> This section is responsive to Requirement 2 in </w:t>
      </w:r>
      <w:r>
        <w:rPr>
          <w:i/>
        </w:rPr>
        <w:t>FAQ Part 45</w:t>
      </w:r>
      <w:r>
        <w:t xml:space="preserve"> at 4. </w:t>
      </w:r>
    </w:p>
  </w:footnote>
  <w:footnote w:id="50">
    <w:p w14:paraId="0164A1F3" w14:textId="77777777" w:rsidR="0094211C" w:rsidRDefault="0094211C" w:rsidP="0094211C">
      <w:pPr>
        <w:pStyle w:val="FootnoteText"/>
      </w:pPr>
      <w:r>
        <w:rPr>
          <w:rStyle w:val="FootnoteReference"/>
        </w:rPr>
        <w:footnoteRef/>
      </w:r>
      <w:r>
        <w:t xml:space="preserve"> This section is responsive to Requirement 3 in </w:t>
      </w:r>
      <w:r>
        <w:rPr>
          <w:i/>
        </w:rPr>
        <w:t>FAQ Part 45</w:t>
      </w:r>
      <w:r>
        <w:t xml:space="preserve"> at 4.</w:t>
      </w:r>
    </w:p>
  </w:footnote>
  <w:footnote w:id="51">
    <w:p w14:paraId="3BBC9035" w14:textId="77777777" w:rsidR="00353F67" w:rsidRDefault="00353F67" w:rsidP="00353F67">
      <w:pPr>
        <w:pStyle w:val="FootnoteText"/>
        <w:rPr>
          <w:rFonts w:ascii="Times New Roman"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52">
    <w:p w14:paraId="4BF50883" w14:textId="77777777" w:rsidR="00353F67" w:rsidRDefault="00353F67" w:rsidP="00353F67">
      <w:pPr>
        <w:pStyle w:val="FootnoteText"/>
      </w:pPr>
      <w:r>
        <w:rPr>
          <w:rStyle w:val="FootnoteReference"/>
        </w:rPr>
        <w:footnoteRef/>
      </w:r>
      <w:r>
        <w:t xml:space="preserve"> This section is responsive to Requirement 2 in </w:t>
      </w:r>
      <w:r>
        <w:rPr>
          <w:i/>
        </w:rPr>
        <w:t>FAQ Part 45</w:t>
      </w:r>
      <w:r>
        <w:t xml:space="preserve"> at 4. </w:t>
      </w:r>
    </w:p>
  </w:footnote>
  <w:footnote w:id="53">
    <w:p w14:paraId="12545977" w14:textId="77777777" w:rsidR="00353F67" w:rsidRDefault="00353F67" w:rsidP="00353F67">
      <w:pPr>
        <w:pStyle w:val="FootnoteText"/>
      </w:pPr>
      <w:r>
        <w:rPr>
          <w:rStyle w:val="FootnoteReference"/>
        </w:rPr>
        <w:footnoteRef/>
      </w:r>
      <w:r>
        <w:t xml:space="preserve"> </w:t>
      </w:r>
      <w:r>
        <w:rPr>
          <w:i/>
        </w:rPr>
        <w:t>Id.</w:t>
      </w:r>
      <w:r>
        <w:t xml:space="preserve"> </w:t>
      </w:r>
    </w:p>
  </w:footnote>
  <w:footnote w:id="54">
    <w:p w14:paraId="48F8F5D5" w14:textId="77777777" w:rsidR="00353F67" w:rsidRDefault="00353F67" w:rsidP="00353F67">
      <w:pPr>
        <w:pStyle w:val="FootnoteText"/>
      </w:pPr>
      <w:r>
        <w:rPr>
          <w:rStyle w:val="FootnoteReference"/>
        </w:rPr>
        <w:footnoteRef/>
      </w:r>
      <w:r>
        <w:t xml:space="preserve"> This section is responsive to Requirement 3 in </w:t>
      </w:r>
      <w:r>
        <w:rPr>
          <w:i/>
        </w:rPr>
        <w:t>FAQ Part 45</w:t>
      </w:r>
      <w:r>
        <w:t xml:space="preserve"> at 4.</w:t>
      </w:r>
    </w:p>
  </w:footnote>
  <w:footnote w:id="55">
    <w:p w14:paraId="0C38DE69" w14:textId="77777777" w:rsidR="00C87444" w:rsidRDefault="00C87444" w:rsidP="00C87444">
      <w:pPr>
        <w:pStyle w:val="FootnoteText"/>
        <w:rPr>
          <w:rFonts w:ascii="Times New Roman" w:hAnsi="Times New Roman" w:cs="Times New Roman"/>
        </w:rPr>
      </w:pPr>
      <w:r>
        <w:rPr>
          <w:rStyle w:val="FootnoteReference"/>
        </w:rPr>
        <w:footnoteRef/>
      </w:r>
      <w:r>
        <w:t xml:space="preserve"> This section is responsive to Requirement 1 in </w:t>
      </w:r>
      <w:r>
        <w:rPr>
          <w:i/>
        </w:rPr>
        <w:t>FAQ Part 45</w:t>
      </w:r>
      <w:r>
        <w:t xml:space="preserve"> at 4. </w:t>
      </w:r>
    </w:p>
  </w:footnote>
  <w:footnote w:id="56">
    <w:p w14:paraId="7CB9098E" w14:textId="77777777" w:rsidR="00C87444" w:rsidRDefault="00C87444" w:rsidP="00C87444">
      <w:pPr>
        <w:pStyle w:val="FootnoteText"/>
      </w:pPr>
      <w:r>
        <w:rPr>
          <w:rStyle w:val="FootnoteReference"/>
        </w:rPr>
        <w:footnoteRef/>
      </w:r>
      <w:r>
        <w:t xml:space="preserve"> This section is responsive to Requirement 2 in </w:t>
      </w:r>
      <w:r>
        <w:rPr>
          <w:i/>
        </w:rPr>
        <w:t>FAQ Part 45</w:t>
      </w:r>
      <w:r>
        <w:t xml:space="preserve"> at 4. </w:t>
      </w:r>
    </w:p>
  </w:footnote>
  <w:footnote w:id="57">
    <w:p w14:paraId="61B07B41" w14:textId="77777777" w:rsidR="00C87444" w:rsidRDefault="00C87444" w:rsidP="00C87444">
      <w:pPr>
        <w:pStyle w:val="FootnoteText"/>
      </w:pPr>
      <w:r>
        <w:rPr>
          <w:rStyle w:val="FootnoteReference"/>
        </w:rPr>
        <w:footnoteRef/>
      </w:r>
      <w:r>
        <w:t xml:space="preserve"> </w:t>
      </w:r>
      <w:r>
        <w:rPr>
          <w:i/>
        </w:rPr>
        <w:t>Id.</w:t>
      </w:r>
      <w:r>
        <w:t xml:space="preserve"> </w:t>
      </w:r>
    </w:p>
  </w:footnote>
  <w:footnote w:id="58">
    <w:p w14:paraId="4A755164" w14:textId="77777777" w:rsidR="00C87444" w:rsidRDefault="00C87444" w:rsidP="00C87444">
      <w:pPr>
        <w:pStyle w:val="FootnoteText"/>
      </w:pPr>
      <w:r>
        <w:rPr>
          <w:rStyle w:val="FootnoteReference"/>
        </w:rPr>
        <w:footnoteRef/>
      </w:r>
      <w:r>
        <w:t xml:space="preserve"> This section is responsive to Requirement 3 in </w:t>
      </w:r>
      <w:r>
        <w:rPr>
          <w:i/>
        </w:rPr>
        <w:t>FAQ Part 45</w:t>
      </w:r>
      <w:r>
        <w:t xml:space="preserve">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D120" w14:textId="26BB41F3" w:rsidR="009831ED" w:rsidRPr="008235D8" w:rsidRDefault="00300B1E" w:rsidP="009831ED">
    <w:pPr>
      <w:rPr>
        <w:rFonts w:ascii="Times New Roman" w:hAnsi="Times New Roman" w:cs="Times New Roman"/>
        <w:b/>
      </w:rPr>
    </w:pPr>
    <w:r w:rsidRPr="008235D8">
      <w:rPr>
        <w:rFonts w:ascii="Times New Roman" w:hAnsi="Times New Roman" w:cs="Times New Roman"/>
        <w:b/>
      </w:rPr>
      <w:t>MHPAEA Summary</w:t>
    </w:r>
    <w:r w:rsidR="009831ED" w:rsidRPr="008235D8">
      <w:rPr>
        <w:rFonts w:ascii="Times New Roman" w:hAnsi="Times New Roman" w:cs="Times New Roman"/>
        <w:b/>
      </w:rPr>
      <w:t xml:space="preserve"> </w:t>
    </w:r>
    <w:r w:rsidR="007C5438">
      <w:rPr>
        <w:rFonts w:ascii="Times New Roman" w:hAnsi="Times New Roman" w:cs="Times New Roman"/>
        <w:b/>
      </w:rPr>
      <w:t>Form</w:t>
    </w:r>
  </w:p>
  <w:p w14:paraId="593CA951" w14:textId="77777777" w:rsidR="009831ED" w:rsidRDefault="009831ED">
    <w:pPr>
      <w:pStyle w:val="Header"/>
    </w:pPr>
  </w:p>
  <w:p w14:paraId="07386976" w14:textId="77777777" w:rsidR="009831ED" w:rsidRDefault="00983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574"/>
    <w:multiLevelType w:val="hybridMultilevel"/>
    <w:tmpl w:val="4A54D5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7694D"/>
    <w:multiLevelType w:val="hybridMultilevel"/>
    <w:tmpl w:val="DAD01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CA6670"/>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AEC"/>
    <w:multiLevelType w:val="hybridMultilevel"/>
    <w:tmpl w:val="3AE8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454484"/>
    <w:multiLevelType w:val="hybridMultilevel"/>
    <w:tmpl w:val="9948E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BF7B2B"/>
    <w:multiLevelType w:val="hybridMultilevel"/>
    <w:tmpl w:val="F1DE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A16345"/>
    <w:multiLevelType w:val="hybridMultilevel"/>
    <w:tmpl w:val="183E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1521B5"/>
    <w:multiLevelType w:val="hybridMultilevel"/>
    <w:tmpl w:val="9D402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F5469E"/>
    <w:multiLevelType w:val="hybridMultilevel"/>
    <w:tmpl w:val="C2140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382A03"/>
    <w:multiLevelType w:val="hybridMultilevel"/>
    <w:tmpl w:val="EE98C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7861FA"/>
    <w:multiLevelType w:val="hybridMultilevel"/>
    <w:tmpl w:val="EC4A9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AC24465"/>
    <w:multiLevelType w:val="hybridMultilevel"/>
    <w:tmpl w:val="0BC4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941E58"/>
    <w:multiLevelType w:val="hybridMultilevel"/>
    <w:tmpl w:val="9A0C4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D20ECE"/>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61CD3"/>
    <w:multiLevelType w:val="hybridMultilevel"/>
    <w:tmpl w:val="28744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7D7440"/>
    <w:multiLevelType w:val="hybridMultilevel"/>
    <w:tmpl w:val="B60E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A76EB"/>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80AC3"/>
    <w:multiLevelType w:val="hybridMultilevel"/>
    <w:tmpl w:val="FE6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25313"/>
    <w:multiLevelType w:val="hybridMultilevel"/>
    <w:tmpl w:val="3A28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C56710"/>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41BB3"/>
    <w:multiLevelType w:val="hybridMultilevel"/>
    <w:tmpl w:val="EBFCA3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EA4EAE"/>
    <w:multiLevelType w:val="hybridMultilevel"/>
    <w:tmpl w:val="557E2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4A54CEF"/>
    <w:multiLevelType w:val="hybridMultilevel"/>
    <w:tmpl w:val="E014DEC0"/>
    <w:lvl w:ilvl="0" w:tplc="4F248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5EE29CF"/>
    <w:multiLevelType w:val="hybridMultilevel"/>
    <w:tmpl w:val="2F9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73D5932"/>
    <w:multiLevelType w:val="hybridMultilevel"/>
    <w:tmpl w:val="1C1CCD4C"/>
    <w:lvl w:ilvl="0" w:tplc="79D2E6C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EA7437A"/>
    <w:multiLevelType w:val="hybridMultilevel"/>
    <w:tmpl w:val="CA8E5D0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F665EB6"/>
    <w:multiLevelType w:val="hybridMultilevel"/>
    <w:tmpl w:val="64521ED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3F8754B1"/>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2085E"/>
    <w:multiLevelType w:val="hybridMultilevel"/>
    <w:tmpl w:val="75C22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9C5CC6"/>
    <w:multiLevelType w:val="hybridMultilevel"/>
    <w:tmpl w:val="4A54D5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58656AA"/>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D3B34"/>
    <w:multiLevelType w:val="hybridMultilevel"/>
    <w:tmpl w:val="18D8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7815C02"/>
    <w:multiLevelType w:val="hybridMultilevel"/>
    <w:tmpl w:val="E1503606"/>
    <w:lvl w:ilvl="0" w:tplc="00C02F32">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7AF3E97"/>
    <w:multiLevelType w:val="hybridMultilevel"/>
    <w:tmpl w:val="C92C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C325267"/>
    <w:multiLevelType w:val="hybridMultilevel"/>
    <w:tmpl w:val="0518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EE4470B"/>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F376D1"/>
    <w:multiLevelType w:val="hybridMultilevel"/>
    <w:tmpl w:val="49162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F7F0672"/>
    <w:multiLevelType w:val="hybridMultilevel"/>
    <w:tmpl w:val="F9B06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1643678"/>
    <w:multiLevelType w:val="hybridMultilevel"/>
    <w:tmpl w:val="BA4A5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192238C"/>
    <w:multiLevelType w:val="hybridMultilevel"/>
    <w:tmpl w:val="0776BC6A"/>
    <w:lvl w:ilvl="0" w:tplc="F95E4A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95388F"/>
    <w:multiLevelType w:val="hybridMultilevel"/>
    <w:tmpl w:val="B3FAE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41B5049"/>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A328A1"/>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5A3B33"/>
    <w:multiLevelType w:val="hybridMultilevel"/>
    <w:tmpl w:val="4F54A01E"/>
    <w:lvl w:ilvl="0" w:tplc="EAFED858">
      <w:start w:val="9"/>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CF14F1A"/>
    <w:multiLevelType w:val="hybridMultilevel"/>
    <w:tmpl w:val="F7A4F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EA53879"/>
    <w:multiLevelType w:val="hybridMultilevel"/>
    <w:tmpl w:val="9140A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5F2B526C"/>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F678AA"/>
    <w:multiLevelType w:val="hybridMultilevel"/>
    <w:tmpl w:val="D2D4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15135E3"/>
    <w:multiLevelType w:val="hybridMultilevel"/>
    <w:tmpl w:val="C21406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62121CFF"/>
    <w:multiLevelType w:val="hybridMultilevel"/>
    <w:tmpl w:val="21BEFC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449138F"/>
    <w:multiLevelType w:val="hybridMultilevel"/>
    <w:tmpl w:val="27CE6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5053120"/>
    <w:multiLevelType w:val="hybridMultilevel"/>
    <w:tmpl w:val="1678570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66F353ED"/>
    <w:multiLevelType w:val="hybridMultilevel"/>
    <w:tmpl w:val="EF2A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D6511B0"/>
    <w:multiLevelType w:val="hybridMultilevel"/>
    <w:tmpl w:val="5F522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0EB3312"/>
    <w:multiLevelType w:val="hybridMultilevel"/>
    <w:tmpl w:val="DDB2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1E075DA"/>
    <w:multiLevelType w:val="hybridMultilevel"/>
    <w:tmpl w:val="08A61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78D1D38"/>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2213A1"/>
    <w:multiLevelType w:val="hybridMultilevel"/>
    <w:tmpl w:val="9A869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7A2F40C3"/>
    <w:multiLevelType w:val="hybridMultilevel"/>
    <w:tmpl w:val="C428E5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9" w15:restartNumberingAfterBreak="0">
    <w:nsid w:val="7A317422"/>
    <w:multiLevelType w:val="hybridMultilevel"/>
    <w:tmpl w:val="AA840796"/>
    <w:lvl w:ilvl="0" w:tplc="660C56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C87E85"/>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C40F2"/>
    <w:multiLevelType w:val="hybridMultilevel"/>
    <w:tmpl w:val="4B40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777C31"/>
    <w:multiLevelType w:val="hybridMultilevel"/>
    <w:tmpl w:val="85D0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82967065">
    <w:abstractNumId w:val="13"/>
  </w:num>
  <w:num w:numId="2" w16cid:durableId="1363088206">
    <w:abstractNumId w:val="61"/>
  </w:num>
  <w:num w:numId="3" w16cid:durableId="1203395400">
    <w:abstractNumId w:val="15"/>
  </w:num>
  <w:num w:numId="4" w16cid:durableId="1224874715">
    <w:abstractNumId w:val="56"/>
  </w:num>
  <w:num w:numId="5" w16cid:durableId="2027058118">
    <w:abstractNumId w:val="19"/>
  </w:num>
  <w:num w:numId="6" w16cid:durableId="522204587">
    <w:abstractNumId w:val="41"/>
  </w:num>
  <w:num w:numId="7" w16cid:durableId="388381786">
    <w:abstractNumId w:val="30"/>
  </w:num>
  <w:num w:numId="8" w16cid:durableId="1234898021">
    <w:abstractNumId w:val="60"/>
  </w:num>
  <w:num w:numId="9" w16cid:durableId="549149569">
    <w:abstractNumId w:val="42"/>
  </w:num>
  <w:num w:numId="10" w16cid:durableId="1322998691">
    <w:abstractNumId w:val="27"/>
  </w:num>
  <w:num w:numId="11" w16cid:durableId="1260867910">
    <w:abstractNumId w:val="29"/>
  </w:num>
  <w:num w:numId="12" w16cid:durableId="1636568103">
    <w:abstractNumId w:val="35"/>
  </w:num>
  <w:num w:numId="13" w16cid:durableId="872304673">
    <w:abstractNumId w:val="0"/>
  </w:num>
  <w:num w:numId="14" w16cid:durableId="197205734">
    <w:abstractNumId w:val="46"/>
  </w:num>
  <w:num w:numId="15" w16cid:durableId="1477213396">
    <w:abstractNumId w:val="2"/>
  </w:num>
  <w:num w:numId="16" w16cid:durableId="1418794087">
    <w:abstractNumId w:val="16"/>
  </w:num>
  <w:num w:numId="17" w16cid:durableId="1524249842">
    <w:abstractNumId w:val="17"/>
  </w:num>
  <w:num w:numId="18" w16cid:durableId="446899310">
    <w:abstractNumId w:val="39"/>
  </w:num>
  <w:num w:numId="19" w16cid:durableId="1800564557">
    <w:abstractNumId w:val="57"/>
  </w:num>
  <w:num w:numId="20" w16cid:durableId="812143514">
    <w:abstractNumId w:val="43"/>
  </w:num>
  <w:num w:numId="21" w16cid:durableId="62875224">
    <w:abstractNumId w:val="4"/>
  </w:num>
  <w:num w:numId="22" w16cid:durableId="205634626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9959064">
    <w:abstractNumId w:val="49"/>
    <w:lvlOverride w:ilvl="0"/>
    <w:lvlOverride w:ilvl="1">
      <w:startOverride w:val="1"/>
    </w:lvlOverride>
    <w:lvlOverride w:ilvl="2"/>
    <w:lvlOverride w:ilvl="3"/>
    <w:lvlOverride w:ilvl="4"/>
    <w:lvlOverride w:ilvl="5"/>
    <w:lvlOverride w:ilvl="6"/>
    <w:lvlOverride w:ilvl="7"/>
    <w:lvlOverride w:ilvl="8"/>
  </w:num>
  <w:num w:numId="24" w16cid:durableId="1814592056">
    <w:abstractNumId w:val="52"/>
  </w:num>
  <w:num w:numId="25" w16cid:durableId="111940516">
    <w:abstractNumId w:val="10"/>
  </w:num>
  <w:num w:numId="26" w16cid:durableId="829718160">
    <w:abstractNumId w:val="59"/>
  </w:num>
  <w:num w:numId="27" w16cid:durableId="1459302442">
    <w:abstractNumId w:val="1"/>
  </w:num>
  <w:num w:numId="28" w16cid:durableId="852256978">
    <w:abstractNumId w:val="21"/>
  </w:num>
  <w:num w:numId="29" w16cid:durableId="25911557">
    <w:abstractNumId w:val="32"/>
  </w:num>
  <w:num w:numId="30" w16cid:durableId="1734963122">
    <w:abstractNumId w:val="62"/>
  </w:num>
  <w:num w:numId="31" w16cid:durableId="1371228558">
    <w:abstractNumId w:val="26"/>
    <w:lvlOverride w:ilvl="0">
      <w:startOverride w:val="1"/>
    </w:lvlOverride>
    <w:lvlOverride w:ilvl="1"/>
    <w:lvlOverride w:ilvl="2"/>
    <w:lvlOverride w:ilvl="3"/>
    <w:lvlOverride w:ilvl="4"/>
    <w:lvlOverride w:ilvl="5"/>
    <w:lvlOverride w:ilvl="6"/>
    <w:lvlOverride w:ilvl="7"/>
    <w:lvlOverride w:ilvl="8"/>
  </w:num>
  <w:num w:numId="32" w16cid:durableId="900754398">
    <w:abstractNumId w:val="51"/>
    <w:lvlOverride w:ilvl="0">
      <w:startOverride w:val="1"/>
    </w:lvlOverride>
    <w:lvlOverride w:ilvl="1"/>
    <w:lvlOverride w:ilvl="2"/>
    <w:lvlOverride w:ilvl="3"/>
    <w:lvlOverride w:ilvl="4"/>
    <w:lvlOverride w:ilvl="5"/>
    <w:lvlOverride w:ilvl="6"/>
    <w:lvlOverride w:ilvl="7"/>
    <w:lvlOverride w:ilvl="8"/>
  </w:num>
  <w:num w:numId="33" w16cid:durableId="646903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7529993">
    <w:abstractNumId w:val="50"/>
  </w:num>
  <w:num w:numId="35" w16cid:durableId="5985620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49007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8426836">
    <w:abstractNumId w:val="23"/>
  </w:num>
  <w:num w:numId="38" w16cid:durableId="13512239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91887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54178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16717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4074697">
    <w:abstractNumId w:val="58"/>
  </w:num>
  <w:num w:numId="43" w16cid:durableId="1874919657">
    <w:abstractNumId w:val="49"/>
  </w:num>
  <w:num w:numId="44" w16cid:durableId="2107648421">
    <w:abstractNumId w:val="6"/>
  </w:num>
  <w:num w:numId="45" w16cid:durableId="1256013111">
    <w:abstractNumId w:val="32"/>
  </w:num>
  <w:num w:numId="46" w16cid:durableId="1158888328">
    <w:abstractNumId w:val="43"/>
  </w:num>
  <w:num w:numId="47" w16cid:durableId="1325086325">
    <w:abstractNumId w:val="62"/>
  </w:num>
  <w:num w:numId="48" w16cid:durableId="1105462352">
    <w:abstractNumId w:val="5"/>
    <w:lvlOverride w:ilvl="0"/>
    <w:lvlOverride w:ilvl="1"/>
    <w:lvlOverride w:ilvl="2"/>
    <w:lvlOverride w:ilvl="3"/>
    <w:lvlOverride w:ilvl="4"/>
    <w:lvlOverride w:ilvl="5"/>
    <w:lvlOverride w:ilvl="6"/>
    <w:lvlOverride w:ilvl="7"/>
    <w:lvlOverride w:ilvl="8"/>
  </w:num>
  <w:num w:numId="49" w16cid:durableId="3675319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9886772">
    <w:abstractNumId w:val="4"/>
    <w:lvlOverride w:ilvl="0"/>
    <w:lvlOverride w:ilvl="1"/>
    <w:lvlOverride w:ilvl="2"/>
    <w:lvlOverride w:ilvl="3"/>
    <w:lvlOverride w:ilvl="4"/>
    <w:lvlOverride w:ilvl="5"/>
    <w:lvlOverride w:ilvl="6"/>
    <w:lvlOverride w:ilvl="7"/>
    <w:lvlOverride w:ilvl="8"/>
  </w:num>
  <w:num w:numId="51" w16cid:durableId="1750226533">
    <w:abstractNumId w:val="36"/>
    <w:lvlOverride w:ilvl="0"/>
    <w:lvlOverride w:ilvl="1"/>
    <w:lvlOverride w:ilvl="2"/>
    <w:lvlOverride w:ilvl="3"/>
    <w:lvlOverride w:ilvl="4"/>
    <w:lvlOverride w:ilvl="5"/>
    <w:lvlOverride w:ilvl="6"/>
    <w:lvlOverride w:ilvl="7"/>
    <w:lvlOverride w:ilvl="8"/>
  </w:num>
  <w:num w:numId="52" w16cid:durableId="1835679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27791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47222391">
    <w:abstractNumId w:val="54"/>
    <w:lvlOverride w:ilvl="0"/>
    <w:lvlOverride w:ilvl="1"/>
    <w:lvlOverride w:ilvl="2"/>
    <w:lvlOverride w:ilvl="3"/>
    <w:lvlOverride w:ilvl="4"/>
    <w:lvlOverride w:ilvl="5"/>
    <w:lvlOverride w:ilvl="6"/>
    <w:lvlOverride w:ilvl="7"/>
    <w:lvlOverride w:ilvl="8"/>
  </w:num>
  <w:num w:numId="55" w16cid:durableId="1328091761">
    <w:abstractNumId w:val="11"/>
    <w:lvlOverride w:ilvl="0"/>
    <w:lvlOverride w:ilvl="1"/>
    <w:lvlOverride w:ilvl="2"/>
    <w:lvlOverride w:ilvl="3"/>
    <w:lvlOverride w:ilvl="4"/>
    <w:lvlOverride w:ilvl="5"/>
    <w:lvlOverride w:ilvl="6"/>
    <w:lvlOverride w:ilvl="7"/>
    <w:lvlOverride w:ilvl="8"/>
  </w:num>
  <w:num w:numId="56" w16cid:durableId="1887790425">
    <w:abstractNumId w:val="33"/>
    <w:lvlOverride w:ilvl="0"/>
    <w:lvlOverride w:ilvl="1"/>
    <w:lvlOverride w:ilvl="2"/>
    <w:lvlOverride w:ilvl="3"/>
    <w:lvlOverride w:ilvl="4"/>
    <w:lvlOverride w:ilvl="5"/>
    <w:lvlOverride w:ilvl="6"/>
    <w:lvlOverride w:ilvl="7"/>
    <w:lvlOverride w:ilvl="8"/>
  </w:num>
  <w:num w:numId="57" w16cid:durableId="1227573035">
    <w:abstractNumId w:val="34"/>
    <w:lvlOverride w:ilvl="0"/>
    <w:lvlOverride w:ilvl="1"/>
    <w:lvlOverride w:ilvl="2"/>
    <w:lvlOverride w:ilvl="3"/>
    <w:lvlOverride w:ilvl="4"/>
    <w:lvlOverride w:ilvl="5"/>
    <w:lvlOverride w:ilvl="6"/>
    <w:lvlOverride w:ilvl="7"/>
    <w:lvlOverride w:ilvl="8"/>
  </w:num>
  <w:num w:numId="58" w16cid:durableId="20864117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61469679">
    <w:abstractNumId w:val="18"/>
    <w:lvlOverride w:ilvl="0"/>
    <w:lvlOverride w:ilvl="1"/>
    <w:lvlOverride w:ilvl="2"/>
    <w:lvlOverride w:ilvl="3"/>
    <w:lvlOverride w:ilvl="4"/>
    <w:lvlOverride w:ilvl="5"/>
    <w:lvlOverride w:ilvl="6"/>
    <w:lvlOverride w:ilvl="7"/>
    <w:lvlOverride w:ilvl="8"/>
  </w:num>
  <w:num w:numId="60" w16cid:durableId="78978108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5821742">
    <w:abstractNumId w:val="47"/>
    <w:lvlOverride w:ilvl="0"/>
    <w:lvlOverride w:ilvl="1"/>
    <w:lvlOverride w:ilvl="2"/>
    <w:lvlOverride w:ilvl="3"/>
    <w:lvlOverride w:ilvl="4"/>
    <w:lvlOverride w:ilvl="5"/>
    <w:lvlOverride w:ilvl="6"/>
    <w:lvlOverride w:ilvl="7"/>
    <w:lvlOverride w:ilvl="8"/>
  </w:num>
  <w:num w:numId="62" w16cid:durableId="515845082">
    <w:abstractNumId w:val="43"/>
    <w:lvlOverride w:ilvl="0"/>
    <w:lvlOverride w:ilvl="1"/>
    <w:lvlOverride w:ilvl="2"/>
    <w:lvlOverride w:ilvl="3"/>
    <w:lvlOverride w:ilvl="4"/>
    <w:lvlOverride w:ilvl="5"/>
    <w:lvlOverride w:ilvl="6"/>
    <w:lvlOverride w:ilvl="7"/>
    <w:lvlOverride w:ilvl="8"/>
  </w:num>
  <w:num w:numId="63" w16cid:durableId="660084250">
    <w:abstractNumId w:val="53"/>
    <w:lvlOverride w:ilvl="0"/>
    <w:lvlOverride w:ilvl="1"/>
    <w:lvlOverride w:ilvl="2"/>
    <w:lvlOverride w:ilvl="3"/>
    <w:lvlOverride w:ilvl="4"/>
    <w:lvlOverride w:ilvl="5"/>
    <w:lvlOverride w:ilvl="6"/>
    <w:lvlOverride w:ilvl="7"/>
    <w:lvlOverride w:ilvl="8"/>
  </w:num>
  <w:num w:numId="64" w16cid:durableId="173963698">
    <w:abstractNumId w:val="37"/>
    <w:lvlOverride w:ilvl="0"/>
    <w:lvlOverride w:ilvl="1"/>
    <w:lvlOverride w:ilvl="2"/>
    <w:lvlOverride w:ilvl="3"/>
    <w:lvlOverride w:ilvl="4"/>
    <w:lvlOverride w:ilvl="5"/>
    <w:lvlOverride w:ilvl="6"/>
    <w:lvlOverride w:ilvl="7"/>
    <w:lvlOverride w:ilvl="8"/>
  </w:num>
  <w:num w:numId="65" w16cid:durableId="1165705565">
    <w:abstractNumId w:val="28"/>
    <w:lvlOverride w:ilvl="0"/>
    <w:lvlOverride w:ilvl="1"/>
    <w:lvlOverride w:ilvl="2"/>
    <w:lvlOverride w:ilvl="3"/>
    <w:lvlOverride w:ilvl="4"/>
    <w:lvlOverride w:ilvl="5"/>
    <w:lvlOverride w:ilvl="6"/>
    <w:lvlOverride w:ilvl="7"/>
    <w:lvlOverride w:ilvl="8"/>
  </w:num>
  <w:num w:numId="66" w16cid:durableId="941301540">
    <w:abstractNumId w:val="31"/>
    <w:lvlOverride w:ilvl="0"/>
    <w:lvlOverride w:ilvl="1"/>
    <w:lvlOverride w:ilvl="2"/>
    <w:lvlOverride w:ilvl="3"/>
    <w:lvlOverride w:ilvl="4"/>
    <w:lvlOverride w:ilvl="5"/>
    <w:lvlOverride w:ilvl="6"/>
    <w:lvlOverride w:ilvl="7"/>
    <w:lvlOverride w:ilvl="8"/>
  </w:num>
  <w:num w:numId="67" w16cid:durableId="1272056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5389264">
    <w:abstractNumId w:val="9"/>
    <w:lvlOverride w:ilvl="0"/>
    <w:lvlOverride w:ilvl="1"/>
    <w:lvlOverride w:ilvl="2"/>
    <w:lvlOverride w:ilvl="3"/>
    <w:lvlOverride w:ilvl="4"/>
    <w:lvlOverride w:ilvl="5"/>
    <w:lvlOverride w:ilvl="6"/>
    <w:lvlOverride w:ilvl="7"/>
    <w:lvlOverride w:ilvl="8"/>
  </w:num>
  <w:num w:numId="69" w16cid:durableId="828785371">
    <w:abstractNumId w:val="3"/>
    <w:lvlOverride w:ilvl="0"/>
    <w:lvlOverride w:ilvl="1"/>
    <w:lvlOverride w:ilvl="2"/>
    <w:lvlOverride w:ilvl="3"/>
    <w:lvlOverride w:ilvl="4"/>
    <w:lvlOverride w:ilvl="5"/>
    <w:lvlOverride w:ilvl="6"/>
    <w:lvlOverride w:ilvl="7"/>
    <w:lvlOverride w:ilvl="8"/>
  </w:num>
  <w:num w:numId="70" w16cid:durableId="71633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ED"/>
    <w:rsid w:val="00080A54"/>
    <w:rsid w:val="000C14A2"/>
    <w:rsid w:val="000D0CF5"/>
    <w:rsid w:val="00161ADE"/>
    <w:rsid w:val="001625EC"/>
    <w:rsid w:val="00197DD1"/>
    <w:rsid w:val="001B035C"/>
    <w:rsid w:val="001D6AC6"/>
    <w:rsid w:val="00220AF6"/>
    <w:rsid w:val="002309BD"/>
    <w:rsid w:val="0023314C"/>
    <w:rsid w:val="00255215"/>
    <w:rsid w:val="0026724E"/>
    <w:rsid w:val="002930BA"/>
    <w:rsid w:val="00293A4E"/>
    <w:rsid w:val="002C1B07"/>
    <w:rsid w:val="002C4430"/>
    <w:rsid w:val="00300B1E"/>
    <w:rsid w:val="0032795F"/>
    <w:rsid w:val="00353F67"/>
    <w:rsid w:val="00377592"/>
    <w:rsid w:val="00385B01"/>
    <w:rsid w:val="003918E2"/>
    <w:rsid w:val="003A6A60"/>
    <w:rsid w:val="003C0912"/>
    <w:rsid w:val="004138AC"/>
    <w:rsid w:val="0044432B"/>
    <w:rsid w:val="004D49C2"/>
    <w:rsid w:val="004D4F44"/>
    <w:rsid w:val="004E7BFD"/>
    <w:rsid w:val="004F65FF"/>
    <w:rsid w:val="0053103B"/>
    <w:rsid w:val="00540F00"/>
    <w:rsid w:val="005D7556"/>
    <w:rsid w:val="005E4D2F"/>
    <w:rsid w:val="0060101A"/>
    <w:rsid w:val="00602852"/>
    <w:rsid w:val="00626C2F"/>
    <w:rsid w:val="00634DDE"/>
    <w:rsid w:val="00662235"/>
    <w:rsid w:val="006A5907"/>
    <w:rsid w:val="006B5453"/>
    <w:rsid w:val="006D400D"/>
    <w:rsid w:val="006F74BE"/>
    <w:rsid w:val="007461CE"/>
    <w:rsid w:val="007920B9"/>
    <w:rsid w:val="007B4D04"/>
    <w:rsid w:val="007C1A22"/>
    <w:rsid w:val="007C5438"/>
    <w:rsid w:val="007C747A"/>
    <w:rsid w:val="007E34B8"/>
    <w:rsid w:val="007F4CAB"/>
    <w:rsid w:val="00806566"/>
    <w:rsid w:val="00810960"/>
    <w:rsid w:val="008235D8"/>
    <w:rsid w:val="00882C00"/>
    <w:rsid w:val="00885A6A"/>
    <w:rsid w:val="0094211C"/>
    <w:rsid w:val="00955AA6"/>
    <w:rsid w:val="009831ED"/>
    <w:rsid w:val="009C6090"/>
    <w:rsid w:val="00A57FFD"/>
    <w:rsid w:val="00AA24AC"/>
    <w:rsid w:val="00AD53FD"/>
    <w:rsid w:val="00B32142"/>
    <w:rsid w:val="00B52977"/>
    <w:rsid w:val="00B850C9"/>
    <w:rsid w:val="00B96E71"/>
    <w:rsid w:val="00C47E93"/>
    <w:rsid w:val="00C865B3"/>
    <w:rsid w:val="00C87444"/>
    <w:rsid w:val="00CA27C7"/>
    <w:rsid w:val="00CC43C6"/>
    <w:rsid w:val="00CD2A21"/>
    <w:rsid w:val="00CE4315"/>
    <w:rsid w:val="00D11971"/>
    <w:rsid w:val="00D36D15"/>
    <w:rsid w:val="00D61E32"/>
    <w:rsid w:val="00D7275A"/>
    <w:rsid w:val="00D82ED7"/>
    <w:rsid w:val="00DC21A6"/>
    <w:rsid w:val="00DF5B21"/>
    <w:rsid w:val="00E11455"/>
    <w:rsid w:val="00E34D1A"/>
    <w:rsid w:val="00E70A33"/>
    <w:rsid w:val="00E96735"/>
    <w:rsid w:val="00EB78C2"/>
    <w:rsid w:val="00EE19D5"/>
    <w:rsid w:val="00F14B8E"/>
    <w:rsid w:val="00F22FCC"/>
    <w:rsid w:val="00F60190"/>
    <w:rsid w:val="00F712D1"/>
    <w:rsid w:val="00FA5BF8"/>
    <w:rsid w:val="00FD0F3F"/>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20D5B5C"/>
  <w15:chartTrackingRefBased/>
  <w15:docId w15:val="{E2CD926A-4544-48C5-84A7-8602F727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ED"/>
  </w:style>
  <w:style w:type="paragraph" w:styleId="Footer">
    <w:name w:val="footer"/>
    <w:basedOn w:val="Normal"/>
    <w:link w:val="FooterChar"/>
    <w:uiPriority w:val="99"/>
    <w:unhideWhenUsed/>
    <w:rsid w:val="0098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ED"/>
  </w:style>
  <w:style w:type="table" w:styleId="TableGrid">
    <w:name w:val="Table Grid"/>
    <w:basedOn w:val="TableNormal"/>
    <w:rsid w:val="0098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List Paragraph1,alpha List"/>
    <w:basedOn w:val="Normal"/>
    <w:link w:val="ListParagraphChar"/>
    <w:uiPriority w:val="99"/>
    <w:qFormat/>
    <w:rsid w:val="009831ED"/>
    <w:pPr>
      <w:ind w:left="720"/>
      <w:contextualSpacing/>
    </w:pPr>
  </w:style>
  <w:style w:type="character" w:styleId="CommentReference">
    <w:name w:val="annotation reference"/>
    <w:basedOn w:val="DefaultParagraphFont"/>
    <w:uiPriority w:val="99"/>
    <w:semiHidden/>
    <w:unhideWhenUsed/>
    <w:rsid w:val="00CA27C7"/>
    <w:rPr>
      <w:sz w:val="16"/>
      <w:szCs w:val="16"/>
    </w:rPr>
  </w:style>
  <w:style w:type="paragraph" w:styleId="CommentText">
    <w:name w:val="annotation text"/>
    <w:basedOn w:val="Normal"/>
    <w:link w:val="CommentTextChar"/>
    <w:uiPriority w:val="99"/>
    <w:semiHidden/>
    <w:unhideWhenUsed/>
    <w:rsid w:val="00CA27C7"/>
    <w:pPr>
      <w:spacing w:line="240" w:lineRule="auto"/>
    </w:pPr>
    <w:rPr>
      <w:sz w:val="20"/>
      <w:szCs w:val="20"/>
    </w:rPr>
  </w:style>
  <w:style w:type="character" w:customStyle="1" w:styleId="CommentTextChar">
    <w:name w:val="Comment Text Char"/>
    <w:basedOn w:val="DefaultParagraphFont"/>
    <w:link w:val="CommentText"/>
    <w:uiPriority w:val="99"/>
    <w:semiHidden/>
    <w:rsid w:val="00CA27C7"/>
    <w:rPr>
      <w:sz w:val="20"/>
      <w:szCs w:val="20"/>
    </w:rPr>
  </w:style>
  <w:style w:type="paragraph" w:styleId="CommentSubject">
    <w:name w:val="annotation subject"/>
    <w:basedOn w:val="CommentText"/>
    <w:next w:val="CommentText"/>
    <w:link w:val="CommentSubjectChar"/>
    <w:uiPriority w:val="99"/>
    <w:semiHidden/>
    <w:unhideWhenUsed/>
    <w:rsid w:val="00CA27C7"/>
    <w:rPr>
      <w:b/>
      <w:bCs/>
    </w:rPr>
  </w:style>
  <w:style w:type="character" w:customStyle="1" w:styleId="CommentSubjectChar">
    <w:name w:val="Comment Subject Char"/>
    <w:basedOn w:val="CommentTextChar"/>
    <w:link w:val="CommentSubject"/>
    <w:uiPriority w:val="99"/>
    <w:semiHidden/>
    <w:rsid w:val="00CA27C7"/>
    <w:rPr>
      <w:b/>
      <w:bCs/>
      <w:sz w:val="20"/>
      <w:szCs w:val="20"/>
    </w:rPr>
  </w:style>
  <w:style w:type="paragraph" w:styleId="BalloonText">
    <w:name w:val="Balloon Text"/>
    <w:basedOn w:val="Normal"/>
    <w:link w:val="BalloonTextChar"/>
    <w:uiPriority w:val="99"/>
    <w:semiHidden/>
    <w:unhideWhenUsed/>
    <w:rsid w:val="00CA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C7"/>
    <w:rPr>
      <w:rFonts w:ascii="Segoe UI" w:hAnsi="Segoe UI" w:cs="Segoe UI"/>
      <w:sz w:val="18"/>
      <w:szCs w:val="18"/>
    </w:rPr>
  </w:style>
  <w:style w:type="character" w:styleId="Hyperlink">
    <w:name w:val="Hyperlink"/>
    <w:basedOn w:val="DefaultParagraphFont"/>
    <w:uiPriority w:val="99"/>
    <w:semiHidden/>
    <w:unhideWhenUsed/>
    <w:rsid w:val="00FE610D"/>
    <w:rPr>
      <w:color w:val="0000FF"/>
      <w:u w:val="single"/>
    </w:rPr>
  </w:style>
  <w:style w:type="paragraph" w:styleId="FootnoteText">
    <w:name w:val="footnote text"/>
    <w:basedOn w:val="Normal"/>
    <w:link w:val="FootnoteTextChar"/>
    <w:uiPriority w:val="99"/>
    <w:semiHidden/>
    <w:unhideWhenUsed/>
    <w:rsid w:val="006F7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4BE"/>
    <w:rPr>
      <w:sz w:val="20"/>
      <w:szCs w:val="20"/>
    </w:rPr>
  </w:style>
  <w:style w:type="character" w:styleId="FootnoteReference">
    <w:name w:val="footnote reference"/>
    <w:basedOn w:val="DefaultParagraphFont"/>
    <w:uiPriority w:val="99"/>
    <w:semiHidden/>
    <w:unhideWhenUsed/>
    <w:rsid w:val="006F74BE"/>
    <w:rPr>
      <w:vertAlign w:val="superscript"/>
    </w:rPr>
  </w:style>
  <w:style w:type="paragraph" w:styleId="BodyText">
    <w:name w:val="Body Text"/>
    <w:basedOn w:val="Normal"/>
    <w:link w:val="BodyTextChar"/>
    <w:uiPriority w:val="26"/>
    <w:unhideWhenUsed/>
    <w:qFormat/>
    <w:rsid w:val="00806566"/>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26"/>
    <w:rsid w:val="00806566"/>
    <w:rPr>
      <w:rFonts w:ascii="Times New Roman" w:eastAsia="Times New Roman" w:hAnsi="Times New Roman" w:cs="Times New Roman"/>
      <w:sz w:val="24"/>
      <w:szCs w:val="24"/>
    </w:rPr>
  </w:style>
  <w:style w:type="paragraph" w:customStyle="1" w:styleId="Default">
    <w:name w:val="Default"/>
    <w:rsid w:val="001625EC"/>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1625EC"/>
    <w:pPr>
      <w:widowControl w:val="0"/>
      <w:autoSpaceDE w:val="0"/>
      <w:autoSpaceDN w:val="0"/>
      <w:spacing w:after="0" w:line="240" w:lineRule="auto"/>
    </w:pPr>
    <w:rPr>
      <w:rFonts w:ascii="Times New Roman" w:eastAsia="Times New Roman" w:hAnsi="Times New Roman" w:cs="Times New Roman"/>
    </w:rPr>
  </w:style>
  <w:style w:type="character" w:customStyle="1" w:styleId="crunormalCharChar">
    <w:name w:val="cru.normal Char Char"/>
    <w:link w:val="crunormalChar"/>
    <w:locked/>
    <w:rsid w:val="001625EC"/>
    <w:rPr>
      <w:rFonts w:ascii="Arial" w:eastAsia="Times New Roman" w:hAnsi="Arial" w:cs="Arial"/>
      <w:sz w:val="20"/>
      <w:szCs w:val="20"/>
    </w:rPr>
  </w:style>
  <w:style w:type="paragraph" w:customStyle="1" w:styleId="crunormalChar">
    <w:name w:val="cru.normal Char"/>
    <w:link w:val="crunormalCharChar"/>
    <w:rsid w:val="001625EC"/>
    <w:pPr>
      <w:spacing w:after="0" w:line="240" w:lineRule="auto"/>
    </w:pPr>
    <w:rPr>
      <w:rFonts w:ascii="Arial" w:eastAsia="Times New Roman" w:hAnsi="Arial" w:cs="Arial"/>
      <w:sz w:val="20"/>
      <w:szCs w:val="20"/>
    </w:rPr>
  </w:style>
  <w:style w:type="character" w:customStyle="1" w:styleId="ListParagraphChar">
    <w:name w:val="List Paragraph Char"/>
    <w:aliases w:val="Alpha List Paragraph Char,List Paragraph1 Char,alpha List Char"/>
    <w:link w:val="ListParagraph"/>
    <w:uiPriority w:val="99"/>
    <w:locked/>
    <w:rsid w:val="002C4430"/>
  </w:style>
  <w:style w:type="paragraph" w:styleId="BlockText">
    <w:name w:val="Block Text"/>
    <w:basedOn w:val="Normal"/>
    <w:uiPriority w:val="99"/>
    <w:unhideWhenUsed/>
    <w:qFormat/>
    <w:rsid w:val="00F22FCC"/>
    <w:pPr>
      <w:spacing w:after="0" w:line="240" w:lineRule="auto"/>
    </w:pPr>
    <w:rPr>
      <w:rFonts w:ascii="Times New Roman" w:eastAsiaTheme="minorEastAsia" w:hAnsi="Times New Roman" w:cs="Times New Roman"/>
      <w:iCs/>
      <w:color w:val="000000"/>
      <w:sz w:val="24"/>
    </w:rPr>
  </w:style>
  <w:style w:type="character" w:customStyle="1" w:styleId="normaltextrun">
    <w:name w:val="normaltextrun"/>
    <w:basedOn w:val="DefaultParagraphFont"/>
    <w:rsid w:val="00F2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917">
      <w:bodyDiv w:val="1"/>
      <w:marLeft w:val="0"/>
      <w:marRight w:val="0"/>
      <w:marTop w:val="0"/>
      <w:marBottom w:val="0"/>
      <w:divBdr>
        <w:top w:val="none" w:sz="0" w:space="0" w:color="auto"/>
        <w:left w:val="none" w:sz="0" w:space="0" w:color="auto"/>
        <w:bottom w:val="none" w:sz="0" w:space="0" w:color="auto"/>
        <w:right w:val="none" w:sz="0" w:space="0" w:color="auto"/>
      </w:divBdr>
    </w:div>
    <w:div w:id="49814777">
      <w:bodyDiv w:val="1"/>
      <w:marLeft w:val="0"/>
      <w:marRight w:val="0"/>
      <w:marTop w:val="0"/>
      <w:marBottom w:val="0"/>
      <w:divBdr>
        <w:top w:val="none" w:sz="0" w:space="0" w:color="auto"/>
        <w:left w:val="none" w:sz="0" w:space="0" w:color="auto"/>
        <w:bottom w:val="none" w:sz="0" w:space="0" w:color="auto"/>
        <w:right w:val="none" w:sz="0" w:space="0" w:color="auto"/>
      </w:divBdr>
    </w:div>
    <w:div w:id="53546353">
      <w:bodyDiv w:val="1"/>
      <w:marLeft w:val="0"/>
      <w:marRight w:val="0"/>
      <w:marTop w:val="0"/>
      <w:marBottom w:val="0"/>
      <w:divBdr>
        <w:top w:val="none" w:sz="0" w:space="0" w:color="auto"/>
        <w:left w:val="none" w:sz="0" w:space="0" w:color="auto"/>
        <w:bottom w:val="none" w:sz="0" w:space="0" w:color="auto"/>
        <w:right w:val="none" w:sz="0" w:space="0" w:color="auto"/>
      </w:divBdr>
    </w:div>
    <w:div w:id="64646820">
      <w:bodyDiv w:val="1"/>
      <w:marLeft w:val="0"/>
      <w:marRight w:val="0"/>
      <w:marTop w:val="0"/>
      <w:marBottom w:val="0"/>
      <w:divBdr>
        <w:top w:val="none" w:sz="0" w:space="0" w:color="auto"/>
        <w:left w:val="none" w:sz="0" w:space="0" w:color="auto"/>
        <w:bottom w:val="none" w:sz="0" w:space="0" w:color="auto"/>
        <w:right w:val="none" w:sz="0" w:space="0" w:color="auto"/>
      </w:divBdr>
    </w:div>
    <w:div w:id="99909575">
      <w:bodyDiv w:val="1"/>
      <w:marLeft w:val="0"/>
      <w:marRight w:val="0"/>
      <w:marTop w:val="0"/>
      <w:marBottom w:val="0"/>
      <w:divBdr>
        <w:top w:val="none" w:sz="0" w:space="0" w:color="auto"/>
        <w:left w:val="none" w:sz="0" w:space="0" w:color="auto"/>
        <w:bottom w:val="none" w:sz="0" w:space="0" w:color="auto"/>
        <w:right w:val="none" w:sz="0" w:space="0" w:color="auto"/>
      </w:divBdr>
    </w:div>
    <w:div w:id="119930895">
      <w:bodyDiv w:val="1"/>
      <w:marLeft w:val="0"/>
      <w:marRight w:val="0"/>
      <w:marTop w:val="0"/>
      <w:marBottom w:val="0"/>
      <w:divBdr>
        <w:top w:val="none" w:sz="0" w:space="0" w:color="auto"/>
        <w:left w:val="none" w:sz="0" w:space="0" w:color="auto"/>
        <w:bottom w:val="none" w:sz="0" w:space="0" w:color="auto"/>
        <w:right w:val="none" w:sz="0" w:space="0" w:color="auto"/>
      </w:divBdr>
    </w:div>
    <w:div w:id="161707595">
      <w:bodyDiv w:val="1"/>
      <w:marLeft w:val="0"/>
      <w:marRight w:val="0"/>
      <w:marTop w:val="0"/>
      <w:marBottom w:val="0"/>
      <w:divBdr>
        <w:top w:val="none" w:sz="0" w:space="0" w:color="auto"/>
        <w:left w:val="none" w:sz="0" w:space="0" w:color="auto"/>
        <w:bottom w:val="none" w:sz="0" w:space="0" w:color="auto"/>
        <w:right w:val="none" w:sz="0" w:space="0" w:color="auto"/>
      </w:divBdr>
    </w:div>
    <w:div w:id="289820744">
      <w:bodyDiv w:val="1"/>
      <w:marLeft w:val="0"/>
      <w:marRight w:val="0"/>
      <w:marTop w:val="0"/>
      <w:marBottom w:val="0"/>
      <w:divBdr>
        <w:top w:val="none" w:sz="0" w:space="0" w:color="auto"/>
        <w:left w:val="none" w:sz="0" w:space="0" w:color="auto"/>
        <w:bottom w:val="none" w:sz="0" w:space="0" w:color="auto"/>
        <w:right w:val="none" w:sz="0" w:space="0" w:color="auto"/>
      </w:divBdr>
    </w:div>
    <w:div w:id="296378695">
      <w:bodyDiv w:val="1"/>
      <w:marLeft w:val="0"/>
      <w:marRight w:val="0"/>
      <w:marTop w:val="0"/>
      <w:marBottom w:val="0"/>
      <w:divBdr>
        <w:top w:val="none" w:sz="0" w:space="0" w:color="auto"/>
        <w:left w:val="none" w:sz="0" w:space="0" w:color="auto"/>
        <w:bottom w:val="none" w:sz="0" w:space="0" w:color="auto"/>
        <w:right w:val="none" w:sz="0" w:space="0" w:color="auto"/>
      </w:divBdr>
    </w:div>
    <w:div w:id="343363675">
      <w:bodyDiv w:val="1"/>
      <w:marLeft w:val="0"/>
      <w:marRight w:val="0"/>
      <w:marTop w:val="0"/>
      <w:marBottom w:val="0"/>
      <w:divBdr>
        <w:top w:val="none" w:sz="0" w:space="0" w:color="auto"/>
        <w:left w:val="none" w:sz="0" w:space="0" w:color="auto"/>
        <w:bottom w:val="none" w:sz="0" w:space="0" w:color="auto"/>
        <w:right w:val="none" w:sz="0" w:space="0" w:color="auto"/>
      </w:divBdr>
    </w:div>
    <w:div w:id="374431968">
      <w:bodyDiv w:val="1"/>
      <w:marLeft w:val="0"/>
      <w:marRight w:val="0"/>
      <w:marTop w:val="0"/>
      <w:marBottom w:val="0"/>
      <w:divBdr>
        <w:top w:val="none" w:sz="0" w:space="0" w:color="auto"/>
        <w:left w:val="none" w:sz="0" w:space="0" w:color="auto"/>
        <w:bottom w:val="none" w:sz="0" w:space="0" w:color="auto"/>
        <w:right w:val="none" w:sz="0" w:space="0" w:color="auto"/>
      </w:divBdr>
    </w:div>
    <w:div w:id="454906044">
      <w:bodyDiv w:val="1"/>
      <w:marLeft w:val="0"/>
      <w:marRight w:val="0"/>
      <w:marTop w:val="0"/>
      <w:marBottom w:val="0"/>
      <w:divBdr>
        <w:top w:val="none" w:sz="0" w:space="0" w:color="auto"/>
        <w:left w:val="none" w:sz="0" w:space="0" w:color="auto"/>
        <w:bottom w:val="none" w:sz="0" w:space="0" w:color="auto"/>
        <w:right w:val="none" w:sz="0" w:space="0" w:color="auto"/>
      </w:divBdr>
    </w:div>
    <w:div w:id="522793216">
      <w:bodyDiv w:val="1"/>
      <w:marLeft w:val="0"/>
      <w:marRight w:val="0"/>
      <w:marTop w:val="0"/>
      <w:marBottom w:val="0"/>
      <w:divBdr>
        <w:top w:val="none" w:sz="0" w:space="0" w:color="auto"/>
        <w:left w:val="none" w:sz="0" w:space="0" w:color="auto"/>
        <w:bottom w:val="none" w:sz="0" w:space="0" w:color="auto"/>
        <w:right w:val="none" w:sz="0" w:space="0" w:color="auto"/>
      </w:divBdr>
    </w:div>
    <w:div w:id="568268678">
      <w:bodyDiv w:val="1"/>
      <w:marLeft w:val="0"/>
      <w:marRight w:val="0"/>
      <w:marTop w:val="0"/>
      <w:marBottom w:val="0"/>
      <w:divBdr>
        <w:top w:val="none" w:sz="0" w:space="0" w:color="auto"/>
        <w:left w:val="none" w:sz="0" w:space="0" w:color="auto"/>
        <w:bottom w:val="none" w:sz="0" w:space="0" w:color="auto"/>
        <w:right w:val="none" w:sz="0" w:space="0" w:color="auto"/>
      </w:divBdr>
    </w:div>
    <w:div w:id="750584516">
      <w:bodyDiv w:val="1"/>
      <w:marLeft w:val="0"/>
      <w:marRight w:val="0"/>
      <w:marTop w:val="0"/>
      <w:marBottom w:val="0"/>
      <w:divBdr>
        <w:top w:val="none" w:sz="0" w:space="0" w:color="auto"/>
        <w:left w:val="none" w:sz="0" w:space="0" w:color="auto"/>
        <w:bottom w:val="none" w:sz="0" w:space="0" w:color="auto"/>
        <w:right w:val="none" w:sz="0" w:space="0" w:color="auto"/>
      </w:divBdr>
    </w:div>
    <w:div w:id="803621649">
      <w:bodyDiv w:val="1"/>
      <w:marLeft w:val="0"/>
      <w:marRight w:val="0"/>
      <w:marTop w:val="0"/>
      <w:marBottom w:val="0"/>
      <w:divBdr>
        <w:top w:val="none" w:sz="0" w:space="0" w:color="auto"/>
        <w:left w:val="none" w:sz="0" w:space="0" w:color="auto"/>
        <w:bottom w:val="none" w:sz="0" w:space="0" w:color="auto"/>
        <w:right w:val="none" w:sz="0" w:space="0" w:color="auto"/>
      </w:divBdr>
    </w:div>
    <w:div w:id="893850384">
      <w:bodyDiv w:val="1"/>
      <w:marLeft w:val="0"/>
      <w:marRight w:val="0"/>
      <w:marTop w:val="0"/>
      <w:marBottom w:val="0"/>
      <w:divBdr>
        <w:top w:val="none" w:sz="0" w:space="0" w:color="auto"/>
        <w:left w:val="none" w:sz="0" w:space="0" w:color="auto"/>
        <w:bottom w:val="none" w:sz="0" w:space="0" w:color="auto"/>
        <w:right w:val="none" w:sz="0" w:space="0" w:color="auto"/>
      </w:divBdr>
    </w:div>
    <w:div w:id="928580142">
      <w:bodyDiv w:val="1"/>
      <w:marLeft w:val="0"/>
      <w:marRight w:val="0"/>
      <w:marTop w:val="0"/>
      <w:marBottom w:val="0"/>
      <w:divBdr>
        <w:top w:val="none" w:sz="0" w:space="0" w:color="auto"/>
        <w:left w:val="none" w:sz="0" w:space="0" w:color="auto"/>
        <w:bottom w:val="none" w:sz="0" w:space="0" w:color="auto"/>
        <w:right w:val="none" w:sz="0" w:space="0" w:color="auto"/>
      </w:divBdr>
    </w:div>
    <w:div w:id="948665635">
      <w:bodyDiv w:val="1"/>
      <w:marLeft w:val="0"/>
      <w:marRight w:val="0"/>
      <w:marTop w:val="0"/>
      <w:marBottom w:val="0"/>
      <w:divBdr>
        <w:top w:val="none" w:sz="0" w:space="0" w:color="auto"/>
        <w:left w:val="none" w:sz="0" w:space="0" w:color="auto"/>
        <w:bottom w:val="none" w:sz="0" w:space="0" w:color="auto"/>
        <w:right w:val="none" w:sz="0" w:space="0" w:color="auto"/>
      </w:divBdr>
    </w:div>
    <w:div w:id="1053236195">
      <w:bodyDiv w:val="1"/>
      <w:marLeft w:val="0"/>
      <w:marRight w:val="0"/>
      <w:marTop w:val="0"/>
      <w:marBottom w:val="0"/>
      <w:divBdr>
        <w:top w:val="none" w:sz="0" w:space="0" w:color="auto"/>
        <w:left w:val="none" w:sz="0" w:space="0" w:color="auto"/>
        <w:bottom w:val="none" w:sz="0" w:space="0" w:color="auto"/>
        <w:right w:val="none" w:sz="0" w:space="0" w:color="auto"/>
      </w:divBdr>
    </w:div>
    <w:div w:id="1091387859">
      <w:bodyDiv w:val="1"/>
      <w:marLeft w:val="0"/>
      <w:marRight w:val="0"/>
      <w:marTop w:val="0"/>
      <w:marBottom w:val="0"/>
      <w:divBdr>
        <w:top w:val="none" w:sz="0" w:space="0" w:color="auto"/>
        <w:left w:val="none" w:sz="0" w:space="0" w:color="auto"/>
        <w:bottom w:val="none" w:sz="0" w:space="0" w:color="auto"/>
        <w:right w:val="none" w:sz="0" w:space="0" w:color="auto"/>
      </w:divBdr>
    </w:div>
    <w:div w:id="1349914173">
      <w:bodyDiv w:val="1"/>
      <w:marLeft w:val="0"/>
      <w:marRight w:val="0"/>
      <w:marTop w:val="0"/>
      <w:marBottom w:val="0"/>
      <w:divBdr>
        <w:top w:val="none" w:sz="0" w:space="0" w:color="auto"/>
        <w:left w:val="none" w:sz="0" w:space="0" w:color="auto"/>
        <w:bottom w:val="none" w:sz="0" w:space="0" w:color="auto"/>
        <w:right w:val="none" w:sz="0" w:space="0" w:color="auto"/>
      </w:divBdr>
    </w:div>
    <w:div w:id="1377659313">
      <w:bodyDiv w:val="1"/>
      <w:marLeft w:val="0"/>
      <w:marRight w:val="0"/>
      <w:marTop w:val="0"/>
      <w:marBottom w:val="0"/>
      <w:divBdr>
        <w:top w:val="none" w:sz="0" w:space="0" w:color="auto"/>
        <w:left w:val="none" w:sz="0" w:space="0" w:color="auto"/>
        <w:bottom w:val="none" w:sz="0" w:space="0" w:color="auto"/>
        <w:right w:val="none" w:sz="0" w:space="0" w:color="auto"/>
      </w:divBdr>
    </w:div>
    <w:div w:id="1430001862">
      <w:bodyDiv w:val="1"/>
      <w:marLeft w:val="0"/>
      <w:marRight w:val="0"/>
      <w:marTop w:val="0"/>
      <w:marBottom w:val="0"/>
      <w:divBdr>
        <w:top w:val="none" w:sz="0" w:space="0" w:color="auto"/>
        <w:left w:val="none" w:sz="0" w:space="0" w:color="auto"/>
        <w:bottom w:val="none" w:sz="0" w:space="0" w:color="auto"/>
        <w:right w:val="none" w:sz="0" w:space="0" w:color="auto"/>
      </w:divBdr>
    </w:div>
    <w:div w:id="1436512393">
      <w:bodyDiv w:val="1"/>
      <w:marLeft w:val="0"/>
      <w:marRight w:val="0"/>
      <w:marTop w:val="0"/>
      <w:marBottom w:val="0"/>
      <w:divBdr>
        <w:top w:val="none" w:sz="0" w:space="0" w:color="auto"/>
        <w:left w:val="none" w:sz="0" w:space="0" w:color="auto"/>
        <w:bottom w:val="none" w:sz="0" w:space="0" w:color="auto"/>
        <w:right w:val="none" w:sz="0" w:space="0" w:color="auto"/>
      </w:divBdr>
    </w:div>
    <w:div w:id="1570460451">
      <w:bodyDiv w:val="1"/>
      <w:marLeft w:val="0"/>
      <w:marRight w:val="0"/>
      <w:marTop w:val="0"/>
      <w:marBottom w:val="0"/>
      <w:divBdr>
        <w:top w:val="none" w:sz="0" w:space="0" w:color="auto"/>
        <w:left w:val="none" w:sz="0" w:space="0" w:color="auto"/>
        <w:bottom w:val="none" w:sz="0" w:space="0" w:color="auto"/>
        <w:right w:val="none" w:sz="0" w:space="0" w:color="auto"/>
      </w:divBdr>
    </w:div>
    <w:div w:id="1579898715">
      <w:bodyDiv w:val="1"/>
      <w:marLeft w:val="0"/>
      <w:marRight w:val="0"/>
      <w:marTop w:val="0"/>
      <w:marBottom w:val="0"/>
      <w:divBdr>
        <w:top w:val="none" w:sz="0" w:space="0" w:color="auto"/>
        <w:left w:val="none" w:sz="0" w:space="0" w:color="auto"/>
        <w:bottom w:val="none" w:sz="0" w:space="0" w:color="auto"/>
        <w:right w:val="none" w:sz="0" w:space="0" w:color="auto"/>
      </w:divBdr>
    </w:div>
    <w:div w:id="1621062350">
      <w:bodyDiv w:val="1"/>
      <w:marLeft w:val="0"/>
      <w:marRight w:val="0"/>
      <w:marTop w:val="0"/>
      <w:marBottom w:val="0"/>
      <w:divBdr>
        <w:top w:val="none" w:sz="0" w:space="0" w:color="auto"/>
        <w:left w:val="none" w:sz="0" w:space="0" w:color="auto"/>
        <w:bottom w:val="none" w:sz="0" w:space="0" w:color="auto"/>
        <w:right w:val="none" w:sz="0" w:space="0" w:color="auto"/>
      </w:divBdr>
    </w:div>
    <w:div w:id="1818180116">
      <w:bodyDiv w:val="1"/>
      <w:marLeft w:val="0"/>
      <w:marRight w:val="0"/>
      <w:marTop w:val="0"/>
      <w:marBottom w:val="0"/>
      <w:divBdr>
        <w:top w:val="none" w:sz="0" w:space="0" w:color="auto"/>
        <w:left w:val="none" w:sz="0" w:space="0" w:color="auto"/>
        <w:bottom w:val="none" w:sz="0" w:space="0" w:color="auto"/>
        <w:right w:val="none" w:sz="0" w:space="0" w:color="auto"/>
      </w:divBdr>
    </w:div>
    <w:div w:id="1959876650">
      <w:bodyDiv w:val="1"/>
      <w:marLeft w:val="0"/>
      <w:marRight w:val="0"/>
      <w:marTop w:val="0"/>
      <w:marBottom w:val="0"/>
      <w:divBdr>
        <w:top w:val="none" w:sz="0" w:space="0" w:color="auto"/>
        <w:left w:val="none" w:sz="0" w:space="0" w:color="auto"/>
        <w:bottom w:val="none" w:sz="0" w:space="0" w:color="auto"/>
        <w:right w:val="none" w:sz="0" w:space="0" w:color="auto"/>
      </w:divBdr>
    </w:div>
    <w:div w:id="1981499166">
      <w:bodyDiv w:val="1"/>
      <w:marLeft w:val="0"/>
      <w:marRight w:val="0"/>
      <w:marTop w:val="0"/>
      <w:marBottom w:val="0"/>
      <w:divBdr>
        <w:top w:val="none" w:sz="0" w:space="0" w:color="auto"/>
        <w:left w:val="none" w:sz="0" w:space="0" w:color="auto"/>
        <w:bottom w:val="none" w:sz="0" w:space="0" w:color="auto"/>
        <w:right w:val="none" w:sz="0" w:space="0" w:color="auto"/>
      </w:divBdr>
    </w:div>
    <w:div w:id="20218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ellfleetrx.com/wp-content/uploads/2023/07/Wellfleet-Rx-Student-Formulary-July-2023.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wellfleetrx.com/students/formula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jstevens\AppData\Local\Microsoft\Windows\INetCache\Content.Outlook\NBY30A73\www.Wellfleetrx.com\formularies" TargetMode="External"/><Relationship Id="rId5" Type="http://schemas.openxmlformats.org/officeDocument/2006/relationships/numbering" Target="numbering.xml"/><Relationship Id="rId15" Type="http://schemas.openxmlformats.org/officeDocument/2006/relationships/hyperlink" Target="http://wellfleetstudent.com/wp-content/uploads/2022/11/WIC-MD-Out-of-Network-Provider-paid-at-in-network-level-guideline-v11-18-22-final-for-website.pdf"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4FD70D4D57E340B0DBDB56293AEA0F" ma:contentTypeVersion="2" ma:contentTypeDescription="Create a new document." ma:contentTypeScope="" ma:versionID="f1c28035d68f5ae458f4088280b00fc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959FB-C2AF-415A-9605-85400EE038F8}">
  <ds:schemaRefs>
    <ds:schemaRef ds:uri="http://schemas.openxmlformats.org/officeDocument/2006/bibliography"/>
  </ds:schemaRefs>
</ds:datastoreItem>
</file>

<file path=customXml/itemProps2.xml><?xml version="1.0" encoding="utf-8"?>
<ds:datastoreItem xmlns:ds="http://schemas.openxmlformats.org/officeDocument/2006/customXml" ds:itemID="{3C0F6AEB-0A53-413D-A4B0-2DE08DD3B39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C3A71F-B902-48B5-8EA8-7796AD7D48C5}">
  <ds:schemaRefs>
    <ds:schemaRef ds:uri="http://schemas.microsoft.com/sharepoint/v3/contenttype/forms"/>
  </ds:schemaRefs>
</ds:datastoreItem>
</file>

<file path=customXml/itemProps4.xml><?xml version="1.0" encoding="utf-8"?>
<ds:datastoreItem xmlns:ds="http://schemas.openxmlformats.org/officeDocument/2006/customXml" ds:itemID="{7E5E8D69-0FBB-41BB-85A2-6D9EB0041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202</Pages>
  <Words>56682</Words>
  <Characters>322524</Characters>
  <Application>Microsoft Office Word</Application>
  <DocSecurity>0</DocSecurity>
  <Lines>6450</Lines>
  <Paragraphs>2670</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376536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Bailey</dc:creator>
  <cp:keywords/>
  <dc:description/>
  <cp:lastModifiedBy>Nicole Winchell</cp:lastModifiedBy>
  <cp:revision>4</cp:revision>
  <dcterms:created xsi:type="dcterms:W3CDTF">2024-03-19T12:57:00Z</dcterms:created>
  <dcterms:modified xsi:type="dcterms:W3CDTF">2024-03-25T13:45:00Z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0x010100ED4FD70D4D57E340B0DBDB56293AEA0F</vt:lpwstr>
  </property>
</Properties>
</file>